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B57B36" w14:paraId="2A131A54" w14:textId="77777777" w:rsidTr="00F20309">
        <w:trPr>
          <w:trHeight w:val="852"/>
          <w:jc w:val="center"/>
        </w:trPr>
        <w:tc>
          <w:tcPr>
            <w:tcW w:w="6940" w:type="dxa"/>
            <w:vMerge w:val="restart"/>
            <w:tcBorders>
              <w:right w:val="single" w:sz="4" w:space="0" w:color="auto"/>
            </w:tcBorders>
          </w:tcPr>
          <w:p w14:paraId="38C3D2BA" w14:textId="77777777" w:rsidR="000A03B2" w:rsidRPr="00B57B36" w:rsidRDefault="000A03B2" w:rsidP="00DE264A">
            <w:pPr>
              <w:tabs>
                <w:tab w:val="left" w:pos="-108"/>
              </w:tabs>
              <w:ind w:left="-108"/>
              <w:jc w:val="left"/>
              <w:rPr>
                <w:rFonts w:cs="Arial"/>
                <w:b/>
                <w:bCs/>
                <w:i/>
                <w:iCs/>
                <w:color w:val="000066"/>
                <w:sz w:val="12"/>
                <w:szCs w:val="12"/>
                <w:lang w:eastAsia="it-IT"/>
              </w:rPr>
            </w:pPr>
            <w:bookmarkStart w:id="0" w:name="_Hlk145068772"/>
            <w:r w:rsidRPr="00B57B36">
              <w:rPr>
                <w:rFonts w:ascii="AdvP6960" w:hAnsi="AdvP6960" w:cs="AdvP6960"/>
                <w:noProof/>
                <w:color w:val="241F20"/>
                <w:szCs w:val="18"/>
                <w:lang w:val="ru-RU" w:eastAsia="ru-RU"/>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dvP6960" w:hAnsi="AdvP6960" w:cs="AdvP6960"/>
                <w:color w:val="241F20"/>
                <w:szCs w:val="18"/>
                <w:lang w:eastAsia="it-IT"/>
              </w:rPr>
              <w:t xml:space="preserve"> </w:t>
            </w:r>
            <w:r w:rsidRPr="00B57B36">
              <w:rPr>
                <w:rFonts w:cs="Arial"/>
                <w:b/>
                <w:bCs/>
                <w:i/>
                <w:iCs/>
                <w:color w:val="000066"/>
                <w:sz w:val="24"/>
                <w:szCs w:val="24"/>
                <w:lang w:eastAsia="it-IT"/>
              </w:rPr>
              <w:t>CHEMICAL ENGINEERING</w:t>
            </w:r>
            <w:r w:rsidRPr="00B57B36">
              <w:rPr>
                <w:rFonts w:cs="Arial"/>
                <w:b/>
                <w:bCs/>
                <w:i/>
                <w:iCs/>
                <w:color w:val="0033FF"/>
                <w:sz w:val="24"/>
                <w:szCs w:val="24"/>
                <w:lang w:eastAsia="it-IT"/>
              </w:rPr>
              <w:t xml:space="preserve"> </w:t>
            </w:r>
            <w:r w:rsidRPr="00B57B36">
              <w:rPr>
                <w:rFonts w:cs="Arial"/>
                <w:b/>
                <w:bCs/>
                <w:i/>
                <w:iCs/>
                <w:color w:val="666666"/>
                <w:sz w:val="24"/>
                <w:szCs w:val="24"/>
                <w:lang w:eastAsia="it-IT"/>
              </w:rPr>
              <w:t>TRANSACTIONS</w:t>
            </w:r>
            <w:r w:rsidRPr="00B57B36">
              <w:rPr>
                <w:color w:val="333333"/>
                <w:sz w:val="24"/>
                <w:szCs w:val="24"/>
                <w:lang w:eastAsia="it-IT"/>
              </w:rPr>
              <w:t xml:space="preserve"> </w:t>
            </w:r>
            <w:r w:rsidRPr="00B57B36">
              <w:rPr>
                <w:rFonts w:cs="Arial"/>
                <w:b/>
                <w:bCs/>
                <w:i/>
                <w:iCs/>
                <w:color w:val="000066"/>
                <w:sz w:val="27"/>
                <w:szCs w:val="27"/>
                <w:lang w:eastAsia="it-IT"/>
              </w:rPr>
              <w:br/>
            </w:r>
          </w:p>
          <w:p w14:paraId="4B780582" w14:textId="753620B8" w:rsidR="000A03B2" w:rsidRPr="00B57B36" w:rsidRDefault="00A76EFC" w:rsidP="001D21AF">
            <w:pPr>
              <w:tabs>
                <w:tab w:val="left" w:pos="-108"/>
              </w:tabs>
              <w:ind w:left="-108"/>
              <w:rPr>
                <w:rFonts w:cs="Arial"/>
                <w:b/>
                <w:bCs/>
                <w:i/>
                <w:iCs/>
                <w:color w:val="000066"/>
                <w:sz w:val="22"/>
                <w:szCs w:val="22"/>
                <w:lang w:eastAsia="it-IT"/>
              </w:rPr>
            </w:pPr>
            <w:r w:rsidRPr="00B57B36">
              <w:rPr>
                <w:rFonts w:cs="Arial"/>
                <w:b/>
                <w:bCs/>
                <w:i/>
                <w:iCs/>
                <w:color w:val="000066"/>
                <w:sz w:val="22"/>
                <w:szCs w:val="22"/>
                <w:lang w:eastAsia="it-IT"/>
              </w:rPr>
              <w:t>VOL.</w:t>
            </w:r>
            <w:r w:rsidR="00785BF9">
              <w:rPr>
                <w:rFonts w:cs="Arial"/>
                <w:b/>
                <w:bCs/>
                <w:i/>
                <w:iCs/>
                <w:color w:val="000066"/>
                <w:sz w:val="22"/>
                <w:szCs w:val="22"/>
                <w:lang w:eastAsia="it-IT"/>
              </w:rPr>
              <w:t xml:space="preserve"> </w:t>
            </w:r>
            <w:r w:rsidR="00AD0278">
              <w:rPr>
                <w:rFonts w:cs="Arial"/>
                <w:b/>
                <w:bCs/>
                <w:i/>
                <w:iCs/>
                <w:color w:val="000066"/>
                <w:sz w:val="22"/>
                <w:szCs w:val="22"/>
                <w:lang w:eastAsia="it-IT"/>
              </w:rPr>
              <w:t>xxx</w:t>
            </w:r>
            <w:r w:rsidR="007B48F9">
              <w:rPr>
                <w:rFonts w:cs="Arial"/>
                <w:b/>
                <w:bCs/>
                <w:i/>
                <w:iCs/>
                <w:color w:val="000066"/>
                <w:sz w:val="22"/>
                <w:szCs w:val="22"/>
                <w:lang w:eastAsia="it-IT"/>
              </w:rPr>
              <w:t>,</w:t>
            </w:r>
            <w:r w:rsidR="00FA5F5F">
              <w:rPr>
                <w:rFonts w:cs="Arial"/>
                <w:b/>
                <w:bCs/>
                <w:i/>
                <w:iCs/>
                <w:color w:val="000066"/>
                <w:sz w:val="22"/>
                <w:szCs w:val="22"/>
                <w:lang w:eastAsia="it-IT"/>
              </w:rPr>
              <w:t xml:space="preserve"> </w:t>
            </w:r>
            <w:r w:rsidR="0030152C">
              <w:rPr>
                <w:rFonts w:cs="Arial"/>
                <w:b/>
                <w:bCs/>
                <w:i/>
                <w:iCs/>
                <w:color w:val="000066"/>
                <w:sz w:val="22"/>
                <w:szCs w:val="22"/>
                <w:lang w:eastAsia="it-IT"/>
              </w:rPr>
              <w:t>202</w:t>
            </w:r>
            <w:r w:rsidR="00AD0278">
              <w:rPr>
                <w:rFonts w:cs="Arial"/>
                <w:b/>
                <w:bCs/>
                <w:i/>
                <w:iCs/>
                <w:color w:val="000066"/>
                <w:sz w:val="22"/>
                <w:szCs w:val="22"/>
                <w:lang w:eastAsia="it-IT"/>
              </w:rPr>
              <w:t>6</w:t>
            </w:r>
          </w:p>
        </w:tc>
        <w:tc>
          <w:tcPr>
            <w:tcW w:w="1842" w:type="dxa"/>
            <w:tcBorders>
              <w:left w:val="single" w:sz="4" w:space="0" w:color="auto"/>
              <w:bottom w:val="nil"/>
              <w:right w:val="single" w:sz="4" w:space="0" w:color="auto"/>
            </w:tcBorders>
          </w:tcPr>
          <w:p w14:paraId="56782132" w14:textId="77777777" w:rsidR="000A03B2" w:rsidRPr="00B57B36" w:rsidRDefault="000A03B2" w:rsidP="00CD5FE2">
            <w:pPr>
              <w:spacing w:line="140" w:lineRule="atLeast"/>
              <w:jc w:val="right"/>
              <w:rPr>
                <w:rFonts w:cs="Arial"/>
                <w:sz w:val="14"/>
                <w:szCs w:val="14"/>
              </w:rPr>
            </w:pPr>
            <w:r w:rsidRPr="00B57B36">
              <w:rPr>
                <w:rFonts w:cs="Arial"/>
                <w:sz w:val="14"/>
                <w:szCs w:val="14"/>
              </w:rPr>
              <w:t>A publication of</w:t>
            </w:r>
          </w:p>
          <w:p w14:paraId="599E5441" w14:textId="77777777" w:rsidR="000A03B2" w:rsidRPr="00B57B36" w:rsidRDefault="000A03B2" w:rsidP="00CD5FE2">
            <w:pPr>
              <w:jc w:val="right"/>
            </w:pPr>
            <w:r w:rsidRPr="00B57B36">
              <w:rPr>
                <w:noProof/>
                <w:lang w:val="ru-RU" w:eastAsia="ru-RU"/>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57B36" w14:paraId="380FA3CD" w14:textId="77777777" w:rsidTr="00F20309">
        <w:trPr>
          <w:trHeight w:val="567"/>
          <w:jc w:val="center"/>
        </w:trPr>
        <w:tc>
          <w:tcPr>
            <w:tcW w:w="6940" w:type="dxa"/>
            <w:vMerge/>
            <w:tcBorders>
              <w:right w:val="single" w:sz="4" w:space="0" w:color="auto"/>
            </w:tcBorders>
          </w:tcPr>
          <w:p w14:paraId="39E5E4C1" w14:textId="77777777" w:rsidR="000A03B2" w:rsidRPr="00B57B36" w:rsidRDefault="000A03B2" w:rsidP="00CD5FE2">
            <w:pPr>
              <w:tabs>
                <w:tab w:val="left" w:pos="-108"/>
              </w:tabs>
            </w:pPr>
          </w:p>
        </w:tc>
        <w:tc>
          <w:tcPr>
            <w:tcW w:w="1842" w:type="dxa"/>
            <w:tcBorders>
              <w:left w:val="single" w:sz="4" w:space="0" w:color="auto"/>
              <w:bottom w:val="nil"/>
              <w:right w:val="single" w:sz="4" w:space="0" w:color="auto"/>
            </w:tcBorders>
          </w:tcPr>
          <w:p w14:paraId="43858A98" w14:textId="77777777" w:rsidR="000A03B2" w:rsidRPr="00B57B36" w:rsidRDefault="000A03B2" w:rsidP="00CD5FE2">
            <w:pPr>
              <w:spacing w:line="140" w:lineRule="atLeast"/>
              <w:jc w:val="right"/>
              <w:rPr>
                <w:rFonts w:cs="Arial"/>
                <w:sz w:val="14"/>
                <w:szCs w:val="14"/>
              </w:rPr>
            </w:pPr>
            <w:r w:rsidRPr="00B57B36">
              <w:rPr>
                <w:rFonts w:cs="Arial"/>
                <w:sz w:val="14"/>
                <w:szCs w:val="14"/>
              </w:rPr>
              <w:t>The Italian Association</w:t>
            </w:r>
          </w:p>
          <w:p w14:paraId="7522B1D2" w14:textId="77777777" w:rsidR="000A03B2" w:rsidRPr="00B57B36" w:rsidRDefault="000A03B2" w:rsidP="00CD5FE2">
            <w:pPr>
              <w:spacing w:line="140" w:lineRule="atLeast"/>
              <w:jc w:val="right"/>
              <w:rPr>
                <w:rFonts w:cs="Arial"/>
                <w:sz w:val="14"/>
                <w:szCs w:val="14"/>
              </w:rPr>
            </w:pPr>
            <w:r w:rsidRPr="00B57B36">
              <w:rPr>
                <w:rFonts w:cs="Arial"/>
                <w:sz w:val="14"/>
                <w:szCs w:val="14"/>
              </w:rPr>
              <w:t>of Chemical Engineering</w:t>
            </w:r>
          </w:p>
          <w:p w14:paraId="4F0CC5DE" w14:textId="47FDB2FC" w:rsidR="000A03B2" w:rsidRPr="000D0268" w:rsidRDefault="000D0268" w:rsidP="00CD5FE2">
            <w:pPr>
              <w:spacing w:line="140" w:lineRule="atLeast"/>
              <w:jc w:val="right"/>
              <w:rPr>
                <w:rFonts w:cs="Arial"/>
                <w:sz w:val="13"/>
                <w:szCs w:val="13"/>
              </w:rPr>
            </w:pPr>
            <w:r w:rsidRPr="000D0268">
              <w:rPr>
                <w:rFonts w:cs="Arial"/>
                <w:sz w:val="13"/>
                <w:szCs w:val="13"/>
              </w:rPr>
              <w:t>Online at www.cetjournal.it</w:t>
            </w:r>
          </w:p>
        </w:tc>
      </w:tr>
      <w:tr w:rsidR="000A03B2" w:rsidRPr="00B57B36" w14:paraId="2D1B7169" w14:textId="77777777" w:rsidTr="00F20309">
        <w:trPr>
          <w:trHeight w:val="68"/>
          <w:jc w:val="center"/>
        </w:trPr>
        <w:tc>
          <w:tcPr>
            <w:tcW w:w="8782" w:type="dxa"/>
            <w:gridSpan w:val="2"/>
          </w:tcPr>
          <w:p w14:paraId="1D8DD3C9" w14:textId="174205F6" w:rsidR="00AA7D26" w:rsidRPr="00CB2614" w:rsidRDefault="004A5E57" w:rsidP="00CB2614">
            <w:pPr>
              <w:ind w:left="-107"/>
              <w:outlineLvl w:val="2"/>
              <w:rPr>
                <w:rFonts w:ascii="Tahoma" w:hAnsi="Tahoma" w:cs="Tahoma"/>
                <w:color w:val="000000"/>
                <w:sz w:val="14"/>
                <w:szCs w:val="14"/>
                <w:shd w:val="clear" w:color="auto" w:fill="FFFFFF"/>
                <w:lang w:val="it-IT"/>
              </w:rPr>
            </w:pPr>
            <w:r w:rsidRPr="00CB2614">
              <w:rPr>
                <w:rFonts w:ascii="Tahoma" w:hAnsi="Tahoma" w:cs="Tahoma"/>
                <w:iCs/>
                <w:color w:val="333333"/>
                <w:sz w:val="14"/>
                <w:szCs w:val="14"/>
                <w:lang w:val="it-IT" w:eastAsia="it-IT"/>
              </w:rPr>
              <w:t>Guest Editors:</w:t>
            </w:r>
            <w:r w:rsidRPr="00CB2614">
              <w:rPr>
                <w:rFonts w:ascii="Tahoma" w:hAnsi="Tahoma" w:cs="Tahoma"/>
                <w:color w:val="000000"/>
                <w:sz w:val="14"/>
                <w:szCs w:val="14"/>
                <w:shd w:val="clear" w:color="auto" w:fill="FFFFFF"/>
                <w:lang w:val="it-IT"/>
              </w:rPr>
              <w:t xml:space="preserve"> </w:t>
            </w:r>
            <w:r w:rsidR="00CB2614" w:rsidRPr="00CB2614">
              <w:rPr>
                <w:rFonts w:ascii="Tahoma" w:hAnsi="Tahoma" w:cs="Tahoma"/>
                <w:color w:val="000000"/>
                <w:sz w:val="14"/>
                <w:szCs w:val="14"/>
                <w:shd w:val="clear" w:color="auto" w:fill="FFFFFF"/>
                <w:lang w:val="it-IT"/>
              </w:rPr>
              <w:t>Flavio Manenti, Botir Usmonov, Alessandro Di Pretoro</w:t>
            </w:r>
          </w:p>
          <w:p w14:paraId="1B0F1814" w14:textId="710B7B96" w:rsidR="000A03B2" w:rsidRPr="00B57B36" w:rsidRDefault="00AA7D26" w:rsidP="00AA7D26">
            <w:pPr>
              <w:tabs>
                <w:tab w:val="left" w:pos="-108"/>
              </w:tabs>
              <w:spacing w:line="140" w:lineRule="atLeast"/>
              <w:ind w:left="-107"/>
              <w:jc w:val="left"/>
            </w:pPr>
            <w:r>
              <w:rPr>
                <w:rFonts w:ascii="Tahoma" w:hAnsi="Tahoma" w:cs="Tahoma"/>
                <w:iCs/>
                <w:color w:val="333333"/>
                <w:sz w:val="14"/>
                <w:szCs w:val="14"/>
                <w:lang w:eastAsia="it-IT"/>
              </w:rPr>
              <w:t>Copyright © 202</w:t>
            </w:r>
            <w:r w:rsidR="00005884">
              <w:rPr>
                <w:rFonts w:ascii="Tahoma" w:hAnsi="Tahoma" w:cs="Tahoma"/>
                <w:iCs/>
                <w:color w:val="333333"/>
                <w:sz w:val="14"/>
                <w:szCs w:val="14"/>
                <w:lang w:eastAsia="it-IT"/>
              </w:rPr>
              <w:t>6</w:t>
            </w:r>
            <w:r w:rsidRPr="00B57B36">
              <w:rPr>
                <w:rFonts w:ascii="Tahoma" w:hAnsi="Tahoma" w:cs="Tahoma"/>
                <w:iCs/>
                <w:color w:val="333333"/>
                <w:sz w:val="14"/>
                <w:szCs w:val="14"/>
                <w:lang w:eastAsia="it-IT"/>
              </w:rPr>
              <w:t>, AIDIC Servizi S.r.l.</w:t>
            </w:r>
            <w:r w:rsidRPr="00B57B36">
              <w:rPr>
                <w:rFonts w:ascii="Tahoma" w:hAnsi="Tahoma" w:cs="Tahoma"/>
                <w:iCs/>
                <w:color w:val="333333"/>
                <w:sz w:val="14"/>
                <w:szCs w:val="14"/>
                <w:lang w:eastAsia="it-IT"/>
              </w:rPr>
              <w:br/>
            </w:r>
            <w:r w:rsidRPr="00B57B36">
              <w:rPr>
                <w:rFonts w:ascii="Tahoma" w:hAnsi="Tahoma" w:cs="Tahoma"/>
                <w:b/>
                <w:iCs/>
                <w:color w:val="000000"/>
                <w:sz w:val="14"/>
                <w:szCs w:val="14"/>
                <w:lang w:eastAsia="it-IT"/>
              </w:rPr>
              <w:t>ISBN</w:t>
            </w:r>
            <w:r w:rsidRPr="00B57B36">
              <w:rPr>
                <w:rFonts w:ascii="Tahoma" w:hAnsi="Tahoma" w:cs="Tahoma"/>
                <w:iCs/>
                <w:color w:val="000000"/>
                <w:sz w:val="14"/>
                <w:szCs w:val="14"/>
                <w:lang w:eastAsia="it-IT"/>
              </w:rPr>
              <w:t xml:space="preserve"> </w:t>
            </w:r>
            <w:r w:rsidR="00D2582C" w:rsidRPr="000562A9">
              <w:rPr>
                <w:rFonts w:ascii="Tahoma" w:hAnsi="Tahoma" w:cs="Tahoma"/>
                <w:sz w:val="14"/>
                <w:szCs w:val="14"/>
              </w:rPr>
              <w:t>97</w:t>
            </w:r>
            <w:r w:rsidR="00D2582C">
              <w:rPr>
                <w:rFonts w:ascii="Tahoma" w:hAnsi="Tahoma" w:cs="Tahoma"/>
                <w:sz w:val="14"/>
                <w:szCs w:val="14"/>
              </w:rPr>
              <w:t>9</w:t>
            </w:r>
            <w:r w:rsidR="00D2582C" w:rsidRPr="000562A9">
              <w:rPr>
                <w:rFonts w:ascii="Tahoma" w:hAnsi="Tahoma" w:cs="Tahoma"/>
                <w:sz w:val="14"/>
                <w:szCs w:val="14"/>
              </w:rPr>
              <w:t>-</w:t>
            </w:r>
            <w:r w:rsidR="00D2582C">
              <w:rPr>
                <w:rFonts w:ascii="Tahoma" w:hAnsi="Tahoma" w:cs="Tahoma"/>
                <w:sz w:val="14"/>
                <w:szCs w:val="14"/>
              </w:rPr>
              <w:t>12</w:t>
            </w:r>
            <w:r w:rsidR="00D2582C" w:rsidRPr="000562A9">
              <w:rPr>
                <w:rFonts w:ascii="Tahoma" w:hAnsi="Tahoma" w:cs="Tahoma"/>
                <w:sz w:val="14"/>
                <w:szCs w:val="14"/>
              </w:rPr>
              <w:t>-</w:t>
            </w:r>
            <w:r w:rsidR="00D2582C">
              <w:rPr>
                <w:rFonts w:ascii="Tahoma" w:hAnsi="Tahoma" w:cs="Tahoma"/>
                <w:sz w:val="14"/>
                <w:szCs w:val="14"/>
              </w:rPr>
              <w:t>81206-</w:t>
            </w:r>
            <w:r w:rsidR="00005884">
              <w:rPr>
                <w:rFonts w:ascii="Tahoma" w:hAnsi="Tahoma" w:cs="Tahoma"/>
                <w:sz w:val="14"/>
                <w:szCs w:val="14"/>
              </w:rPr>
              <w:t>xx</w:t>
            </w:r>
            <w:r w:rsidR="009041F8">
              <w:rPr>
                <w:rFonts w:ascii="Tahoma" w:hAnsi="Tahoma" w:cs="Tahoma"/>
                <w:sz w:val="14"/>
                <w:szCs w:val="14"/>
              </w:rPr>
              <w:t>-</w:t>
            </w:r>
            <w:r w:rsidR="00005884">
              <w:rPr>
                <w:rFonts w:ascii="Tahoma" w:hAnsi="Tahoma" w:cs="Tahoma"/>
                <w:sz w:val="14"/>
                <w:szCs w:val="14"/>
              </w:rPr>
              <w:t>x</w:t>
            </w:r>
            <w:r w:rsidRPr="00EF06D9">
              <w:rPr>
                <w:rFonts w:ascii="Tahoma" w:hAnsi="Tahoma" w:cs="Tahoma"/>
                <w:iCs/>
                <w:color w:val="333333"/>
                <w:sz w:val="14"/>
                <w:szCs w:val="14"/>
                <w:lang w:eastAsia="it-IT"/>
              </w:rPr>
              <w:t>;</w:t>
            </w:r>
            <w:r w:rsidRPr="00B57B36">
              <w:rPr>
                <w:rFonts w:ascii="Tahoma" w:hAnsi="Tahoma" w:cs="Tahoma"/>
                <w:iCs/>
                <w:color w:val="333333"/>
                <w:sz w:val="14"/>
                <w:szCs w:val="14"/>
                <w:lang w:eastAsia="it-IT"/>
              </w:rPr>
              <w:t xml:space="preserve"> </w:t>
            </w:r>
            <w:r w:rsidRPr="00B57B36">
              <w:rPr>
                <w:rFonts w:ascii="Tahoma" w:hAnsi="Tahoma" w:cs="Tahoma"/>
                <w:b/>
                <w:iCs/>
                <w:color w:val="333333"/>
                <w:sz w:val="14"/>
                <w:szCs w:val="14"/>
                <w:lang w:eastAsia="it-IT"/>
              </w:rPr>
              <w:t>ISSN</w:t>
            </w:r>
            <w:r w:rsidRPr="00B57B36">
              <w:rPr>
                <w:rFonts w:ascii="Tahoma" w:hAnsi="Tahoma" w:cs="Tahoma"/>
                <w:iCs/>
                <w:color w:val="333333"/>
                <w:sz w:val="14"/>
                <w:szCs w:val="14"/>
                <w:lang w:eastAsia="it-IT"/>
              </w:rPr>
              <w:t xml:space="preserve"> 2283-9216</w:t>
            </w:r>
          </w:p>
        </w:tc>
      </w:tr>
    </w:tbl>
    <w:bookmarkEnd w:id="0"/>
    <w:p w14:paraId="2E667253" w14:textId="5A9F7168" w:rsidR="00E978D0" w:rsidRPr="00C61989" w:rsidRDefault="00C61989" w:rsidP="006E6B92">
      <w:pPr>
        <w:pStyle w:val="CETAuthors"/>
        <w:spacing w:line="240" w:lineRule="auto"/>
        <w:jc w:val="center"/>
        <w:rPr>
          <w:sz w:val="32"/>
        </w:rPr>
      </w:pPr>
      <w:r w:rsidRPr="00C61989">
        <w:rPr>
          <w:sz w:val="32"/>
        </w:rPr>
        <w:t>Reduction Of Hydrodynamic Losses And Cavitation In Pump Aggregates Operating In Abrasive Two-Phase Flows Using Polymer-Modified Coatings</w:t>
      </w:r>
    </w:p>
    <w:p w14:paraId="0995B215" w14:textId="65672F84" w:rsidR="00D360F2" w:rsidRPr="00D360F2" w:rsidRDefault="00D360F2" w:rsidP="00D360F2">
      <w:pPr>
        <w:pStyle w:val="CETAuthors"/>
      </w:pPr>
      <w:r w:rsidRPr="00D360F2">
        <w:t>Shomurodov S</w:t>
      </w:r>
      <w:r>
        <w:rPr>
          <w:lang w:val="en-US"/>
        </w:rPr>
        <w:t>amandar</w:t>
      </w:r>
      <w:r w:rsidR="001E3870" w:rsidRPr="001E3870">
        <w:rPr>
          <w:vertAlign w:val="superscript"/>
          <w:lang w:val="en-US"/>
        </w:rPr>
        <w:t>a</w:t>
      </w:r>
      <w:r w:rsidRPr="00D360F2">
        <w:t xml:space="preserve">, </w:t>
      </w:r>
      <w:r>
        <w:t>Umar Chorshanbiev</w:t>
      </w:r>
      <w:r w:rsidR="001E3870" w:rsidRPr="001E3870">
        <w:rPr>
          <w:vertAlign w:val="superscript"/>
        </w:rPr>
        <w:t>b</w:t>
      </w:r>
      <w:r w:rsidR="00493920">
        <w:rPr>
          <w:vertAlign w:val="superscript"/>
        </w:rPr>
        <w:t>*</w:t>
      </w:r>
      <w:r w:rsidRPr="00D360F2">
        <w:t>, Musajonov M</w:t>
      </w:r>
      <w:r>
        <w:t>ukhammadrasul</w:t>
      </w:r>
      <w:r w:rsidR="001E3870" w:rsidRPr="001E3870">
        <w:rPr>
          <w:vertAlign w:val="superscript"/>
        </w:rPr>
        <w:t>b</w:t>
      </w:r>
      <w:r w:rsidRPr="00D360F2">
        <w:t>, Kurbonov S</w:t>
      </w:r>
      <w:r>
        <w:t>ultanmurod</w:t>
      </w:r>
      <w:r w:rsidR="001E3870" w:rsidRPr="001E3870">
        <w:rPr>
          <w:vertAlign w:val="superscript"/>
        </w:rPr>
        <w:t>b</w:t>
      </w:r>
      <w:r w:rsidRPr="00D360F2">
        <w:t>, Kuvandikov K</w:t>
      </w:r>
      <w:r>
        <w:t>uvonchbek</w:t>
      </w:r>
      <w:r w:rsidRPr="00D360F2">
        <w:t>, Suvankulov A</w:t>
      </w:r>
      <w:r>
        <w:t>khmad</w:t>
      </w:r>
      <w:r w:rsidR="001E3870" w:rsidRPr="001E3870">
        <w:rPr>
          <w:vertAlign w:val="superscript"/>
        </w:rPr>
        <w:t>b</w:t>
      </w:r>
      <w:r w:rsidRPr="00D360F2">
        <w:t>.</w:t>
      </w:r>
    </w:p>
    <w:p w14:paraId="6B2D21B3" w14:textId="1CC27B6B" w:rsidR="00B57E6F" w:rsidRPr="00493920" w:rsidRDefault="00B57E6F" w:rsidP="00493920">
      <w:pPr>
        <w:pStyle w:val="CETAddress"/>
      </w:pPr>
      <w:bookmarkStart w:id="1" w:name="OLE_LINK1"/>
      <w:bookmarkStart w:id="2" w:name="OLE_LINK2"/>
      <w:r w:rsidRPr="006E6B92">
        <w:rPr>
          <w:vertAlign w:val="superscript"/>
        </w:rPr>
        <w:t>a</w:t>
      </w:r>
      <w:r w:rsidR="00493920" w:rsidRPr="00493920">
        <w:t>Tashkent Institute of Chemical Technology, Alisher Navoiy street 32, 100021,Tashkent, Uzbekistan</w:t>
      </w:r>
    </w:p>
    <w:p w14:paraId="3D72B0B0" w14:textId="494C9716" w:rsidR="00B57E6F" w:rsidRPr="00493920" w:rsidRDefault="00B57E6F" w:rsidP="00493920">
      <w:pPr>
        <w:pStyle w:val="CETAddress"/>
      </w:pPr>
      <w:r w:rsidRPr="006E6B92">
        <w:rPr>
          <w:vertAlign w:val="superscript"/>
        </w:rPr>
        <w:t>b</w:t>
      </w:r>
      <w:r w:rsidR="00493920" w:rsidRPr="00493920">
        <w:t>Tashkent state transport university, Adilxodjaev street 1, 100157, Tashkent, Uzbekistan</w:t>
      </w:r>
    </w:p>
    <w:p w14:paraId="01690654" w14:textId="4C3E4CC6" w:rsidR="00D041FE" w:rsidRPr="00493920" w:rsidRDefault="00B57E6F" w:rsidP="00493920">
      <w:pPr>
        <w:pStyle w:val="CETAddress"/>
      </w:pPr>
      <w:r w:rsidRPr="00493920">
        <w:t xml:space="preserve"> c</w:t>
      </w:r>
      <w:r w:rsidR="00493920" w:rsidRPr="00493920">
        <w:t>orresponding.author: a.suvonqulov@uzsuv.uz</w:t>
      </w:r>
    </w:p>
    <w:bookmarkEnd w:id="1"/>
    <w:bookmarkEnd w:id="2"/>
    <w:p w14:paraId="0B5E6C6D" w14:textId="7DAC3827" w:rsidR="003F7F85" w:rsidRPr="003F7F85" w:rsidRDefault="003F7F85" w:rsidP="00493920">
      <w:pPr>
        <w:pStyle w:val="CETBodytext"/>
        <w:spacing w:before="120"/>
      </w:pPr>
      <w:r>
        <w:t>Pump aggregates operating under aggressive abrasive two-phase flows suffer from erosion, cavitation, and hydrodynamic losses, which significantly reduce efficiency. This study investigates the performance of polymer-modified coatings as a mitigation strategy. The flow was modeled using CFD based on an Euler–Lagrange framework, combining the Navier–Stokes equations for the fluid phase with a discrete phase model for particles. Erosion was evaluated using the Oka model, while cavitation behavior was assessed via the NPSH criterion. Material characterization (UV–Vis, FTIR, SEM) confirmed the formation of a dense polymer network and uniform filler dispersion. Results show that epoxy coa</w:t>
      </w:r>
      <w:r w:rsidR="00F3552A">
        <w:t xml:space="preserve">tings reduce erosion by 30–40% </w:t>
      </w:r>
      <w:r>
        <w:t>reduction. Improved surface smoothness decreases the friction factor, reducing hydrodynamic losses and increasing pump efficiency by 10–15%. Additionally, cavitation onset is delayed due to smoother pressure gradients. Overall, polymer-modified coatings provide a combined protective and hydrodynamic optimization effect, offering an effective solution to enhance efficiency and extend the service life of pumps in abrasive environments.</w:t>
      </w:r>
    </w:p>
    <w:p w14:paraId="1DF4126B" w14:textId="5DC50379" w:rsidR="00F20309" w:rsidRPr="00D041FE" w:rsidRDefault="003F7F85" w:rsidP="00085F70">
      <w:pPr>
        <w:pStyle w:val="CETBodytext"/>
      </w:pPr>
      <w:r>
        <w:t xml:space="preserve">Key words: </w:t>
      </w:r>
      <w:r w:rsidRPr="003F7F85">
        <w:t>abrasive two-phase flow, polymer-modified coatings, cavitation, erosion, CFD modelling, hydrodynamic losses, pump efficiency</w:t>
      </w:r>
    </w:p>
    <w:p w14:paraId="6A3433EB" w14:textId="77777777" w:rsidR="00D041FE" w:rsidRPr="00CD000F" w:rsidRDefault="00600535" w:rsidP="00CD000F">
      <w:pPr>
        <w:pStyle w:val="CETHeading1"/>
        <w:spacing w:before="120"/>
        <w:jc w:val="both"/>
        <w:rPr>
          <w:sz w:val="18"/>
          <w:lang w:val="en-GB"/>
        </w:rPr>
      </w:pPr>
      <w:r w:rsidRPr="00CD000F">
        <w:rPr>
          <w:sz w:val="18"/>
          <w:lang w:val="en-GB"/>
        </w:rPr>
        <w:t>Introduction</w:t>
      </w:r>
    </w:p>
    <w:p w14:paraId="3D4F089B" w14:textId="0758400C" w:rsidR="006E3C63" w:rsidRPr="00085F70" w:rsidRDefault="006E3C63" w:rsidP="006E3C63">
      <w:pPr>
        <w:pStyle w:val="CETBodytext"/>
      </w:pPr>
      <w:r>
        <w:t>Pump aggregates operating in abrasive two-phase flows, particularly in mining and metallurgical processes, are subjected to severe erosion and cavitation, resulting in reduced hydraulic efficiency, increased energy consumption, and higher operating costs. High-velocity particle impacts accelerate wear of the volute and impeller (Oka et al., 2005), while low-pressure regions promote cavitation (Brennen, 2013). Conventional cement-based coatings provide limited protection because their relatively high surface roughness increases hydraulic resistance (Schlichting and Gersten, 2017; Liu et al., 2022), while low elasticity limits impact-energy dissipation (Hutchings</w:t>
      </w:r>
      <w:r>
        <w:t xml:space="preserve">, 1992). </w:t>
      </w:r>
      <w:r>
        <w:t>Previous studies have addressed particle-induced erosion using empirical erosion models (Finnie, 1960) and CFD approaches for analysing multiphase flow structures (White, 2011; Arabnejad et al., 2021). Polymer-based coatings, particularly epoxy and polyurethane systems, have also demonstrated chemical stability, smooth surface formation, and improved erosion resistance (Neville and Wang, 2009; Zhou et al., 2020). However, hydrodynamic processes and coating behaviour are generally investigated separately, and their coupled influence on erosion, cavitation, and hydraulic losses remains insufficiently u</w:t>
      </w:r>
      <w:r>
        <w:t>nderstood (Zhang et al., 2007).</w:t>
      </w:r>
      <w:r w:rsidR="00552E57">
        <w:t xml:space="preserve"> </w:t>
      </w:r>
      <w:r>
        <w:t>Therefore, this study evaluates polymer-modified coatings for reducing erosion, cavitation, and hydrodynamic losses in centrifugal pumps operating under abrasive two-phase flow conditions. The novelty is the integrated assessment of coating performance through microstructural (SEM), chemical (FTIR), optical (UV–Vis), and hydrodynamic (CFD) analyses, including an epoxy composite based on locally sourced materials (Bakhramov et al., 2022). The approach aims to identify the relationship between coating properties, flow behaviour, erosion resistance, and pump efficiency.</w:t>
      </w:r>
    </w:p>
    <w:p w14:paraId="2AA51BA6" w14:textId="510990E0" w:rsidR="00C20464" w:rsidRPr="00085F70" w:rsidRDefault="00C837B8" w:rsidP="00954028">
      <w:pPr>
        <w:pStyle w:val="CETHeading1"/>
        <w:spacing w:before="120"/>
        <w:rPr>
          <w:sz w:val="16"/>
          <w:lang w:val="en-GB"/>
        </w:rPr>
      </w:pPr>
      <w:r w:rsidRPr="00085F70">
        <w:t>Methods and Object</w:t>
      </w:r>
    </w:p>
    <w:p w14:paraId="7FDE90E7" w14:textId="072E66DF" w:rsidR="006210A6" w:rsidRDefault="006210A6" w:rsidP="006210A6">
      <w:pPr>
        <w:pStyle w:val="CETBodytext"/>
        <w:rPr>
          <w:rFonts w:cs="Arial"/>
          <w:szCs w:val="18"/>
        </w:rPr>
      </w:pPr>
      <w:r w:rsidRPr="006210A6">
        <w:rPr>
          <w:rFonts w:cs="Arial"/>
          <w:szCs w:val="18"/>
        </w:rPr>
        <w:t xml:space="preserve">The study investigates a GrAT-type centrifugal pump used for transporting solid-laden hydro-mixtures in copper beneficiation processes, with particular attention to erosion and cavitation at the volute and impeller regions and their mitigation by protective coatings (Babaev et al., 2023). The hydro-mixture was treated as a two-phase </w:t>
      </w:r>
      <w:r w:rsidRPr="006210A6">
        <w:rPr>
          <w:rFonts w:cs="Arial"/>
          <w:szCs w:val="18"/>
        </w:rPr>
        <w:lastRenderedPageBreak/>
        <w:t>system of water and experimentally characterized solid particles (Chorshanbiev et al., 2023). The methodology combined theoretical analysis, CFD modelling, experimental evaluation, and physicomechanical testing to assess flow–material inter</w:t>
      </w:r>
      <w:r w:rsidR="00B15092">
        <w:rPr>
          <w:rFonts w:cs="Arial"/>
          <w:szCs w:val="18"/>
        </w:rPr>
        <w:t xml:space="preserve">actions (Jouhara et al., 2016). </w:t>
      </w:r>
      <w:r w:rsidRPr="006210A6">
        <w:rPr>
          <w:rFonts w:cs="Arial"/>
          <w:szCs w:val="18"/>
        </w:rPr>
        <w:t>The protective composite consisted of epoxy resin, a modified amine curing agent, quartz powder, and Angren kaolin. After surface cleaning and preparation to ensure adequate adhesion, the composite was uniformly applied to the erosion-prone volute and impeller surfaces as a 2–4 mm thick layer. Coating thickness and surface smoothness were controlled because they directly affect adhesion, erosion resis</w:t>
      </w:r>
      <w:r>
        <w:rPr>
          <w:rFonts w:cs="Arial"/>
          <w:szCs w:val="18"/>
        </w:rPr>
        <w:t xml:space="preserve">tance, and hydrodynamic losses. </w:t>
      </w:r>
      <w:r w:rsidRPr="006210A6">
        <w:rPr>
          <w:rFonts w:cs="Arial"/>
          <w:szCs w:val="18"/>
        </w:rPr>
        <w:t>The internal flow was modeled using an Euler–Lagrange approach, with the fluid phase described as a continuous medium by the Navier–Stokes equations:</w:t>
      </w:r>
    </w:p>
    <w:p w14:paraId="5436D977" w14:textId="70E27B3A" w:rsidR="00453E24" w:rsidRDefault="005C417D" w:rsidP="007D1E04">
      <w:pPr>
        <w:pStyle w:val="CETEquation"/>
        <w:tabs>
          <w:tab w:val="clear" w:pos="7100"/>
        </w:tabs>
        <w:jc w:val="right"/>
        <w:rPr>
          <w:lang w:val="en-US"/>
        </w:rPr>
      </w:pPr>
      <m:oMath>
        <m:r>
          <w:rPr>
            <w:rFonts w:ascii="Cambria Math" w:hAnsi="Cambria Math"/>
            <w:lang w:val="en-US"/>
          </w:rPr>
          <m:t>ρ</m:t>
        </m:r>
        <m:r>
          <m:rPr>
            <m:sty m:val="p"/>
          </m:rPr>
          <w:rPr>
            <w:rFonts w:ascii="Cambria Math" w:hAnsi="Cambria Math"/>
            <w:lang w:val="en-US"/>
          </w:rPr>
          <m:t>(</m:t>
        </m:r>
        <m:f>
          <m:fPr>
            <m:ctrlPr>
              <w:rPr>
                <w:rFonts w:ascii="Cambria Math" w:hAnsi="Cambria Math"/>
                <w:lang w:val="en-US"/>
              </w:rPr>
            </m:ctrlPr>
          </m:fPr>
          <m:num>
            <m:r>
              <w:rPr>
                <w:rFonts w:ascii="Cambria Math" w:hAnsi="Cambria Math"/>
                <w:lang w:val="en-US"/>
              </w:rPr>
              <m:t>∂</m:t>
            </m:r>
            <m:limUpp>
              <m:limUppPr>
                <m:ctrlPr>
                  <w:rPr>
                    <w:rFonts w:ascii="Cambria Math" w:hAnsi="Cambria Math"/>
                    <w:lang w:val="en-US"/>
                  </w:rPr>
                </m:ctrlPr>
              </m:limUppPr>
              <m:e>
                <m:r>
                  <w:rPr>
                    <w:rFonts w:ascii="Cambria Math" w:hAnsi="Cambria Math"/>
                    <w:lang w:val="en-US"/>
                  </w:rPr>
                  <m:t>v</m:t>
                </m:r>
              </m:e>
              <m:lim>
                <m:r>
                  <m:rPr>
                    <m:sty m:val="p"/>
                  </m:rPr>
                  <w:rPr>
                    <w:rFonts w:ascii="Cambria Math" w:hAnsi="Cambria Math"/>
                    <w:lang w:val="en-US"/>
                  </w:rPr>
                  <m:t>⃗</m:t>
                </m:r>
              </m:lim>
            </m:limUpp>
          </m:num>
          <m:den>
            <m:r>
              <w:rPr>
                <w:rFonts w:ascii="Cambria Math" w:hAnsi="Cambria Math"/>
                <w:lang w:val="en-US"/>
              </w:rPr>
              <m:t>∂t</m:t>
            </m:r>
          </m:den>
        </m:f>
        <m:r>
          <m:rPr>
            <m:sty m:val="p"/>
          </m:rPr>
          <w:rPr>
            <w:rFonts w:ascii="Cambria Math" w:hAnsi="Cambria Math"/>
            <w:lang w:val="en-US"/>
          </w:rPr>
          <m:t>+</m:t>
        </m:r>
        <m:limUpp>
          <m:limUppPr>
            <m:ctrlPr>
              <w:rPr>
                <w:rFonts w:ascii="Cambria Math" w:hAnsi="Cambria Math"/>
                <w:lang w:val="en-US"/>
              </w:rPr>
            </m:ctrlPr>
          </m:limUppPr>
          <m:e>
            <m:r>
              <w:rPr>
                <w:rFonts w:ascii="Cambria Math" w:hAnsi="Cambria Math"/>
                <w:lang w:val="en-US"/>
              </w:rPr>
              <m:t>v</m:t>
            </m:r>
          </m:e>
          <m:lim>
            <m:r>
              <m:rPr>
                <m:sty m:val="p"/>
              </m:rPr>
              <w:rPr>
                <w:rFonts w:ascii="Cambria Math" w:hAnsi="Cambria Math"/>
                <w:lang w:val="en-US"/>
              </w:rPr>
              <m:t>⃗</m:t>
            </m:r>
          </m:lim>
        </m:limUpp>
        <m:r>
          <m:rPr>
            <m:sty m:val="p"/>
          </m:rPr>
          <w:rPr>
            <w:rFonts w:ascii="Cambria Math" w:hAnsi="Cambria Math"/>
            <w:lang w:val="en-US"/>
          </w:rPr>
          <m:t>⋅</m:t>
        </m:r>
        <m:r>
          <m:rPr>
            <m:nor/>
          </m:rPr>
          <w:rPr>
            <w:rFonts w:ascii="Cambria Math" w:hAnsi="Cambria Math" w:cs="Cambria Math"/>
            <w:lang w:val="en-US"/>
          </w:rPr>
          <m:t>∇</m:t>
        </m:r>
        <m:limUpp>
          <m:limUppPr>
            <m:ctrlPr>
              <w:rPr>
                <w:rFonts w:ascii="Cambria Math" w:hAnsi="Cambria Math"/>
                <w:lang w:val="en-US"/>
              </w:rPr>
            </m:ctrlPr>
          </m:limUppPr>
          <m:e>
            <m:r>
              <w:rPr>
                <w:rFonts w:ascii="Cambria Math" w:hAnsi="Cambria Math"/>
                <w:lang w:val="en-US"/>
              </w:rPr>
              <m:t>v</m:t>
            </m:r>
          </m:e>
          <m:lim>
            <m:r>
              <m:rPr>
                <m:sty m:val="p"/>
              </m:rPr>
              <w:rPr>
                <w:rFonts w:ascii="Cambria Math" w:hAnsi="Cambria Math"/>
                <w:lang w:val="en-US"/>
              </w:rPr>
              <m:t>⃗</m:t>
            </m:r>
          </m:lim>
        </m:limUpp>
        <m:r>
          <m:rPr>
            <m:sty m:val="p"/>
          </m:rPr>
          <w:rPr>
            <w:rFonts w:ascii="Cambria Math" w:hAnsi="Cambria Math"/>
            <w:lang w:val="en-US"/>
          </w:rPr>
          <m:t>)=-</m:t>
        </m:r>
        <m:r>
          <w:rPr>
            <w:rFonts w:ascii="Cambria Math" w:hAnsi="Cambria Math"/>
            <w:lang w:val="en-US"/>
          </w:rPr>
          <m:t>∇p</m:t>
        </m:r>
        <m:r>
          <m:rPr>
            <m:sty m:val="p"/>
          </m:rPr>
          <w:rPr>
            <w:rFonts w:ascii="Cambria Math" w:hAnsi="Cambria Math"/>
            <w:lang w:val="en-US"/>
          </w:rPr>
          <m:t>+</m:t>
        </m:r>
        <m:r>
          <w:rPr>
            <w:rFonts w:ascii="Cambria Math" w:hAnsi="Cambria Math"/>
            <w:lang w:val="en-US"/>
          </w:rPr>
          <m:t>μ</m:t>
        </m:r>
        <m:sSup>
          <m:sSupPr>
            <m:ctrlPr>
              <w:rPr>
                <w:rFonts w:ascii="Cambria Math" w:hAnsi="Cambria Math"/>
                <w:lang w:val="en-US"/>
              </w:rPr>
            </m:ctrlPr>
          </m:sSupPr>
          <m:e>
            <m:r>
              <w:rPr>
                <w:rFonts w:ascii="Cambria Math" w:hAnsi="Cambria Math"/>
                <w:lang w:val="en-US"/>
              </w:rPr>
              <m:t>∇</m:t>
            </m:r>
          </m:e>
          <m:sup>
            <m:r>
              <m:rPr>
                <m:sty m:val="p"/>
              </m:rPr>
              <w:rPr>
                <w:rFonts w:ascii="Cambria Math" w:hAnsi="Cambria Math"/>
                <w:lang w:val="en-US"/>
              </w:rPr>
              <m:t>2</m:t>
            </m:r>
          </m:sup>
        </m:sSup>
        <m:limUpp>
          <m:limUppPr>
            <m:ctrlPr>
              <w:rPr>
                <w:rFonts w:ascii="Cambria Math" w:hAnsi="Cambria Math"/>
                <w:lang w:val="en-US"/>
              </w:rPr>
            </m:ctrlPr>
          </m:limUppPr>
          <m:e>
            <m:r>
              <w:rPr>
                <w:rFonts w:ascii="Cambria Math" w:hAnsi="Cambria Math"/>
                <w:lang w:val="en-US"/>
              </w:rPr>
              <m:t>v</m:t>
            </m:r>
          </m:e>
          <m:lim>
            <m:r>
              <m:rPr>
                <m:sty m:val="p"/>
              </m:rPr>
              <w:rPr>
                <w:rFonts w:ascii="Cambria Math" w:hAnsi="Cambria Math"/>
                <w:lang w:val="en-US"/>
              </w:rPr>
              <m:t>⃗</m:t>
            </m:r>
          </m:lim>
        </m:limUpp>
      </m:oMath>
      <w:r>
        <w:rPr>
          <w:lang w:val="en-US"/>
        </w:rPr>
        <w:t xml:space="preserve"> </w:t>
      </w:r>
      <w:r w:rsidR="007D1E04">
        <w:rPr>
          <w:lang w:val="en-US"/>
        </w:rPr>
        <w:tab/>
      </w:r>
      <w:r w:rsidR="007D1E04">
        <w:rPr>
          <w:lang w:val="en-US"/>
        </w:rPr>
        <w:tab/>
      </w:r>
      <w:r w:rsidR="007D1E04">
        <w:rPr>
          <w:lang w:val="en-US"/>
        </w:rPr>
        <w:tab/>
      </w:r>
      <w:r w:rsidR="007D1E04">
        <w:rPr>
          <w:lang w:val="en-US"/>
        </w:rPr>
        <w:tab/>
      </w:r>
      <w:r>
        <w:rPr>
          <w:lang w:val="en-US"/>
        </w:rPr>
        <w:t>(1)</w:t>
      </w:r>
    </w:p>
    <w:p w14:paraId="11F87A22" w14:textId="1477E0F1" w:rsidR="00871E1B" w:rsidRDefault="00E40B57" w:rsidP="00085F70">
      <w:pPr>
        <w:pStyle w:val="CETBodytext"/>
      </w:pPr>
      <w:r w:rsidRPr="00E40B57">
        <w:t>The motion of solid particles was determined using the discrete phase model (DPM) and is described by Eq(</w:t>
      </w:r>
      <w:r>
        <w:t>2</w:t>
      </w:r>
      <w:r w:rsidRPr="00E40B57">
        <w:t>):</w:t>
      </w:r>
    </w:p>
    <w:p w14:paraId="28A46229" w14:textId="3413D965" w:rsidR="0064477A" w:rsidRDefault="00943E75" w:rsidP="007D1E04">
      <w:pPr>
        <w:pStyle w:val="CETEquation"/>
        <w:tabs>
          <w:tab w:val="clear" w:pos="7100"/>
          <w:tab w:val="right" w:pos="2977"/>
        </w:tabs>
        <w:jc w:val="right"/>
        <w:rPr>
          <w:lang w:val="en-US"/>
        </w:rPr>
      </w:pPr>
      <m:oMath>
        <m:sSub>
          <m:sSubPr>
            <m:ctrlPr>
              <w:rPr>
                <w:rFonts w:ascii="Cambria Math" w:hAnsi="Cambria Math"/>
                <w:lang w:val="en-US"/>
              </w:rPr>
            </m:ctrlPr>
          </m:sSubPr>
          <m:e>
            <m:r>
              <w:rPr>
                <w:rFonts w:ascii="Cambria Math" w:hAnsi="Cambria Math"/>
                <w:lang w:val="en-US"/>
              </w:rPr>
              <m:t>m</m:t>
            </m:r>
          </m:e>
          <m:sub>
            <m:r>
              <w:rPr>
                <w:rFonts w:ascii="Cambria Math" w:hAnsi="Cambria Math"/>
                <w:lang w:val="en-US"/>
              </w:rPr>
              <m:t>p</m:t>
            </m:r>
          </m:sub>
        </m:sSub>
        <m:f>
          <m:fPr>
            <m:ctrlPr>
              <w:rPr>
                <w:rFonts w:ascii="Cambria Math" w:hAnsi="Cambria Math"/>
                <w:lang w:val="en-US"/>
              </w:rPr>
            </m:ctrlPr>
          </m:fPr>
          <m:num>
            <m:r>
              <w:rPr>
                <w:rFonts w:ascii="Cambria Math" w:hAnsi="Cambria Math"/>
                <w:lang w:val="en-US"/>
              </w:rPr>
              <m:t>d</m:t>
            </m:r>
            <m:sSub>
              <m:sSubPr>
                <m:ctrlPr>
                  <w:rPr>
                    <w:rFonts w:ascii="Cambria Math" w:hAnsi="Cambria Math"/>
                    <w:lang w:val="en-US"/>
                  </w:rPr>
                </m:ctrlPr>
              </m:sSubPr>
              <m:e>
                <m:limUpp>
                  <m:limUppPr>
                    <m:ctrlPr>
                      <w:rPr>
                        <w:rFonts w:ascii="Cambria Math" w:hAnsi="Cambria Math"/>
                        <w:lang w:val="en-US"/>
                      </w:rPr>
                    </m:ctrlPr>
                  </m:limUppPr>
                  <m:e>
                    <m:r>
                      <w:rPr>
                        <w:rFonts w:ascii="Cambria Math" w:hAnsi="Cambria Math"/>
                        <w:lang w:val="en-US"/>
                      </w:rPr>
                      <m:t>v</m:t>
                    </m:r>
                  </m:e>
                  <m:lim>
                    <m:r>
                      <m:rPr>
                        <m:sty m:val="p"/>
                      </m:rPr>
                      <w:rPr>
                        <w:rFonts w:ascii="Cambria Math" w:hAnsi="Cambria Math"/>
                        <w:lang w:val="en-US"/>
                      </w:rPr>
                      <m:t>⃗</m:t>
                    </m:r>
                  </m:lim>
                </m:limUpp>
              </m:e>
              <m:sub>
                <m:r>
                  <w:rPr>
                    <w:rFonts w:ascii="Cambria Math" w:hAnsi="Cambria Math"/>
                    <w:lang w:val="en-US"/>
                  </w:rPr>
                  <m:t>p</m:t>
                </m:r>
              </m:sub>
            </m:sSub>
          </m:num>
          <m:den>
            <m:r>
              <w:rPr>
                <w:rFonts w:ascii="Cambria Math" w:hAnsi="Cambria Math"/>
                <w:lang w:val="en-US"/>
              </w:rPr>
              <m:t>dt</m:t>
            </m:r>
          </m:den>
        </m:f>
        <m:r>
          <m:rPr>
            <m:sty m:val="p"/>
          </m:rPr>
          <w:rPr>
            <w:rFonts w:ascii="Cambria Math" w:hAnsi="Cambria Math"/>
            <w:lang w:val="en-US"/>
          </w:rPr>
          <m:t>=</m:t>
        </m:r>
        <m:sSub>
          <m:sSubPr>
            <m:ctrlPr>
              <w:rPr>
                <w:rFonts w:ascii="Cambria Math" w:hAnsi="Cambria Math"/>
                <w:lang w:val="en-US"/>
              </w:rPr>
            </m:ctrlPr>
          </m:sSubPr>
          <m:e>
            <m:r>
              <w:rPr>
                <w:rFonts w:ascii="Cambria Math" w:hAnsi="Cambria Math"/>
                <w:lang w:val="en-US"/>
              </w:rPr>
              <m:t>F</m:t>
            </m:r>
          </m:e>
          <m:sub>
            <m:r>
              <w:rPr>
                <w:rFonts w:ascii="Cambria Math" w:hAnsi="Cambria Math"/>
                <w:lang w:val="en-US"/>
              </w:rPr>
              <m:t>D</m:t>
            </m:r>
          </m:sub>
        </m:sSub>
        <m:r>
          <m:rPr>
            <m:sty m:val="p"/>
          </m:rPr>
          <w:rPr>
            <w:rFonts w:ascii="Cambria Math" w:hAnsi="Cambria Math"/>
            <w:lang w:val="en-US"/>
          </w:rPr>
          <m:t>+</m:t>
        </m:r>
        <m:sSub>
          <m:sSubPr>
            <m:ctrlPr>
              <w:rPr>
                <w:rFonts w:ascii="Cambria Math" w:hAnsi="Cambria Math"/>
                <w:lang w:val="en-US"/>
              </w:rPr>
            </m:ctrlPr>
          </m:sSubPr>
          <m:e>
            <m:r>
              <w:rPr>
                <w:rFonts w:ascii="Cambria Math" w:hAnsi="Cambria Math"/>
                <w:lang w:val="en-US"/>
              </w:rPr>
              <m:t>F</m:t>
            </m:r>
          </m:e>
          <m:sub>
            <m:r>
              <w:rPr>
                <w:rFonts w:ascii="Cambria Math" w:hAnsi="Cambria Math"/>
                <w:lang w:val="en-US"/>
              </w:rPr>
              <m:t>g</m:t>
            </m:r>
          </m:sub>
        </m:sSub>
        <m:r>
          <m:rPr>
            <m:sty m:val="p"/>
          </m:rPr>
          <w:rPr>
            <w:rFonts w:ascii="Cambria Math" w:hAnsi="Cambria Math"/>
            <w:lang w:val="en-US"/>
          </w:rPr>
          <m:t>+</m:t>
        </m:r>
        <m:sSub>
          <m:sSubPr>
            <m:ctrlPr>
              <w:rPr>
                <w:rFonts w:ascii="Cambria Math" w:hAnsi="Cambria Math"/>
                <w:lang w:val="en-US"/>
              </w:rPr>
            </m:ctrlPr>
          </m:sSubPr>
          <m:e>
            <m:r>
              <w:rPr>
                <w:rFonts w:ascii="Cambria Math" w:hAnsi="Cambria Math"/>
                <w:lang w:val="en-US"/>
              </w:rPr>
              <m:t>F</m:t>
            </m:r>
          </m:e>
          <m:sub>
            <m:r>
              <w:rPr>
                <w:rFonts w:ascii="Cambria Math" w:hAnsi="Cambria Math"/>
                <w:lang w:val="en-US"/>
              </w:rPr>
              <m:t>other</m:t>
            </m:r>
          </m:sub>
        </m:sSub>
        <m:r>
          <m:rPr>
            <m:sty m:val="p"/>
          </m:rPr>
          <w:rPr>
            <w:rFonts w:ascii="Cambria Math" w:hAnsi="Cambria Math"/>
            <w:lang w:val="en-US"/>
          </w:rPr>
          <m:t xml:space="preserve"> </m:t>
        </m:r>
      </m:oMath>
      <w:r w:rsidR="0064477A">
        <w:rPr>
          <w:lang w:val="en-US"/>
        </w:rPr>
        <w:t xml:space="preserve"> </w:t>
      </w:r>
      <w:r w:rsidR="007D1E04">
        <w:rPr>
          <w:lang w:val="en-US"/>
        </w:rPr>
        <w:tab/>
      </w:r>
      <w:r w:rsidR="007D1E04">
        <w:rPr>
          <w:lang w:val="en-US"/>
        </w:rPr>
        <w:tab/>
      </w:r>
      <w:r w:rsidR="007D1E04">
        <w:rPr>
          <w:lang w:val="en-US"/>
        </w:rPr>
        <w:tab/>
      </w:r>
      <w:r w:rsidR="007D1E04">
        <w:rPr>
          <w:lang w:val="en-US"/>
        </w:rPr>
        <w:tab/>
      </w:r>
      <w:r w:rsidR="0064477A">
        <w:rPr>
          <w:lang w:val="en-US"/>
        </w:rPr>
        <w:t>(2)</w:t>
      </w:r>
    </w:p>
    <w:p w14:paraId="784CD127" w14:textId="44865797" w:rsidR="00593416" w:rsidRDefault="00E40B57" w:rsidP="00085F70">
      <w:pPr>
        <w:pStyle w:val="CETBodytext"/>
      </w:pPr>
      <w:bookmarkStart w:id="3" w:name="OLE_LINK19"/>
      <w:bookmarkStart w:id="4" w:name="OLE_LINK20"/>
      <w:r w:rsidRPr="00E40B57">
        <w:t>where</w:t>
      </w:r>
      <w:r w:rsidR="00593416">
        <w:t xml:space="preserve"> </w:t>
      </w:r>
      <w:bookmarkStart w:id="5" w:name="OLE_LINK21"/>
      <w:bookmarkStart w:id="6" w:name="OLE_LINK22"/>
      <m:oMath>
        <m:sSub>
          <m:sSubPr>
            <m:ctrlPr>
              <w:rPr>
                <w:rFonts w:ascii="Cambria Math" w:hAnsi="Cambria Math"/>
              </w:rPr>
            </m:ctrlPr>
          </m:sSubPr>
          <m:e>
            <m:r>
              <w:rPr>
                <w:rFonts w:ascii="Cambria Math" w:hAnsi="Cambria Math"/>
              </w:rPr>
              <m:t>F</m:t>
            </m:r>
          </m:e>
          <m:sub>
            <m:r>
              <w:rPr>
                <w:rFonts w:ascii="Cambria Math" w:hAnsi="Cambria Math"/>
              </w:rPr>
              <m:t>D</m:t>
            </m:r>
          </m:sub>
        </m:sSub>
      </m:oMath>
      <w:bookmarkEnd w:id="5"/>
      <w:bookmarkEnd w:id="6"/>
      <w:r w:rsidR="00593416">
        <w:rPr>
          <w:rStyle w:val="vlist-s"/>
          <w:rFonts w:cs="Arial"/>
          <w:szCs w:val="18"/>
        </w:rPr>
        <w:t xml:space="preserve"> </w:t>
      </w:r>
      <w:r w:rsidR="00593416">
        <w:t xml:space="preserve">— </w:t>
      </w:r>
      <w:r w:rsidRPr="00E40B57">
        <w:t>drag force</w:t>
      </w:r>
      <w:r w:rsidR="00593416">
        <w:t xml:space="preserve">, </w:t>
      </w:r>
      <m:oMath>
        <m:sSub>
          <m:sSubPr>
            <m:ctrlPr>
              <w:rPr>
                <w:rFonts w:ascii="Cambria Math" w:hAnsi="Cambria Math"/>
              </w:rPr>
            </m:ctrlPr>
          </m:sSubPr>
          <m:e>
            <m:r>
              <w:rPr>
                <w:rFonts w:ascii="Cambria Math" w:hAnsi="Cambria Math"/>
              </w:rPr>
              <m:t>F</m:t>
            </m:r>
          </m:e>
          <m:sub>
            <m:r>
              <w:rPr>
                <w:rFonts w:ascii="Cambria Math" w:hAnsi="Cambria Math"/>
              </w:rPr>
              <m:t>g</m:t>
            </m:r>
          </m:sub>
        </m:sSub>
      </m:oMath>
      <w:r w:rsidR="00593416">
        <w:t xml:space="preserve"> — </w:t>
      </w:r>
      <w:r w:rsidRPr="00E40B57">
        <w:t>gravitational force</w:t>
      </w:r>
      <w:r w:rsidR="00593416">
        <w:t>.</w:t>
      </w:r>
    </w:p>
    <w:p w14:paraId="54C56C84" w14:textId="111593BC" w:rsidR="00E40B57" w:rsidRDefault="00E40B57" w:rsidP="00085F70">
      <w:pPr>
        <w:pStyle w:val="CETBodytext"/>
      </w:pPr>
      <w:r w:rsidRPr="00E40B57">
        <w:t>Turbulence effects were modeled using the realizable</w:t>
      </w:r>
      <w:r w:rsidR="00593416">
        <w:t xml:space="preserve"> k–ε </w:t>
      </w:r>
      <w:r w:rsidRPr="00E40B57">
        <w:t>model, which provides improved accuracy for rotating and swirling flows</w:t>
      </w:r>
      <w:r w:rsidR="00593416">
        <w:t>.</w:t>
      </w:r>
      <w:bookmarkEnd w:id="3"/>
      <w:bookmarkEnd w:id="4"/>
    </w:p>
    <w:p w14:paraId="5165A0DA" w14:textId="7A24A839" w:rsidR="00593416" w:rsidRDefault="00240186" w:rsidP="00085F70">
      <w:pPr>
        <w:pStyle w:val="CETBodytext"/>
      </w:pPr>
      <w:r w:rsidRPr="00240186">
        <w:t>The erosion rate was evaluated based on the Oka erosion model (Oka et al., 2005), with consideration of the physicomechanical properties of the polymer coating:</w:t>
      </w:r>
    </w:p>
    <w:p w14:paraId="19413C82" w14:textId="37EBC35C" w:rsidR="00410BC3" w:rsidRDefault="00410BC3" w:rsidP="007D1E04">
      <w:pPr>
        <w:pStyle w:val="CETEquation"/>
        <w:tabs>
          <w:tab w:val="clear" w:pos="7100"/>
        </w:tabs>
        <w:jc w:val="right"/>
        <w:rPr>
          <w:lang w:val="en-US"/>
        </w:rPr>
      </w:pPr>
      <m:oMath>
        <m:r>
          <w:rPr>
            <w:rFonts w:ascii="Cambria Math" w:hAnsi="Cambria Math"/>
            <w:lang w:val="en-US"/>
          </w:rPr>
          <m:t>E</m:t>
        </m:r>
        <m:r>
          <m:rPr>
            <m:sty m:val="p"/>
          </m:rPr>
          <w:rPr>
            <w:rFonts w:ascii="Cambria Math" w:hAnsi="Cambria Math"/>
            <w:lang w:val="en-US"/>
          </w:rPr>
          <m:t>=</m:t>
        </m:r>
        <m:r>
          <w:rPr>
            <w:rFonts w:ascii="Cambria Math" w:hAnsi="Cambria Math"/>
            <w:lang w:val="en-US"/>
          </w:rPr>
          <m:t>C</m:t>
        </m:r>
        <m:r>
          <m:rPr>
            <m:sty m:val="p"/>
          </m:rPr>
          <w:rPr>
            <w:rFonts w:ascii="Cambria Math" w:hAnsi="Cambria Math"/>
            <w:lang w:val="en-US"/>
          </w:rPr>
          <m:t>⋅</m:t>
        </m:r>
        <m:sSup>
          <m:sSupPr>
            <m:ctrlPr>
              <w:rPr>
                <w:rFonts w:ascii="Cambria Math" w:hAnsi="Cambria Math"/>
                <w:lang w:val="en-US"/>
              </w:rPr>
            </m:ctrlPr>
          </m:sSupPr>
          <m:e>
            <m:r>
              <w:rPr>
                <w:rFonts w:ascii="Cambria Math" w:hAnsi="Cambria Math"/>
                <w:lang w:val="en-US"/>
              </w:rPr>
              <m:t>v</m:t>
            </m:r>
          </m:e>
          <m:sup>
            <m:r>
              <w:rPr>
                <w:rFonts w:ascii="Cambria Math" w:hAnsi="Cambria Math"/>
                <w:lang w:val="en-US"/>
              </w:rPr>
              <m:t>n</m:t>
            </m:r>
          </m:sup>
        </m:sSup>
        <m:r>
          <m:rPr>
            <m:sty m:val="p"/>
          </m:rPr>
          <w:rPr>
            <w:rFonts w:ascii="Cambria Math" w:hAnsi="Cambria Math"/>
            <w:lang w:val="en-US"/>
          </w:rPr>
          <m:t>⋅</m:t>
        </m:r>
        <m:sSup>
          <m:sSupPr>
            <m:ctrlPr>
              <w:rPr>
                <w:rFonts w:ascii="Cambria Math" w:hAnsi="Cambria Math"/>
                <w:lang w:val="en-US"/>
              </w:rPr>
            </m:ctrlPr>
          </m:sSupPr>
          <m:e>
            <m:r>
              <w:rPr>
                <w:rFonts w:ascii="Cambria Math" w:hAnsi="Cambria Math"/>
                <w:lang w:val="en-US"/>
              </w:rPr>
              <m:t>d</m:t>
            </m:r>
          </m:e>
          <m:sup>
            <m:r>
              <w:rPr>
                <w:rFonts w:ascii="Cambria Math" w:hAnsi="Cambria Math"/>
                <w:lang w:val="en-US"/>
              </w:rPr>
              <m:t>m</m:t>
            </m:r>
          </m:sup>
        </m:sSup>
        <m:r>
          <m:rPr>
            <m:sty m:val="p"/>
          </m:rPr>
          <w:rPr>
            <w:rFonts w:ascii="Cambria Math" w:hAnsi="Cambria Math"/>
            <w:lang w:val="en-US"/>
          </w:rPr>
          <m:t>⋅</m:t>
        </m:r>
        <m:f>
          <m:fPr>
            <m:ctrlPr>
              <w:rPr>
                <w:rFonts w:ascii="Cambria Math" w:hAnsi="Cambria Math"/>
                <w:lang w:val="en-US"/>
              </w:rPr>
            </m:ctrlPr>
          </m:fPr>
          <m:num>
            <m:r>
              <m:rPr>
                <m:sty m:val="p"/>
              </m:rPr>
              <w:rPr>
                <w:rFonts w:ascii="Cambria Math" w:hAnsi="Cambria Math"/>
                <w:lang w:val="en-US"/>
              </w:rPr>
              <m:t>1</m:t>
            </m:r>
          </m:num>
          <m:den>
            <m:sSub>
              <m:sSubPr>
                <m:ctrlPr>
                  <w:rPr>
                    <w:rFonts w:ascii="Cambria Math" w:hAnsi="Cambria Math"/>
                    <w:lang w:val="en-US"/>
                  </w:rPr>
                </m:ctrlPr>
              </m:sSubPr>
              <m:e>
                <m:r>
                  <w:rPr>
                    <w:rFonts w:ascii="Cambria Math" w:hAnsi="Cambria Math"/>
                    <w:lang w:val="en-US"/>
                  </w:rPr>
                  <m:t>H</m:t>
                </m:r>
              </m:e>
              <m:sub>
                <m:r>
                  <w:rPr>
                    <w:rFonts w:ascii="Cambria Math" w:hAnsi="Cambria Math"/>
                    <w:lang w:val="en-US"/>
                  </w:rPr>
                  <m:t>eff</m:t>
                </m:r>
              </m:sub>
            </m:sSub>
          </m:den>
        </m:f>
        <m:r>
          <m:rPr>
            <m:sty m:val="p"/>
          </m:rPr>
          <w:rPr>
            <w:rFonts w:ascii="Cambria Math" w:hAnsi="Cambria Math"/>
            <w:lang w:val="en-US"/>
          </w:rPr>
          <m:t>⋅</m:t>
        </m:r>
        <m:r>
          <w:rPr>
            <w:rFonts w:ascii="Cambria Math" w:hAnsi="Cambria Math"/>
            <w:lang w:val="en-US"/>
          </w:rPr>
          <m:t>ϕ</m:t>
        </m:r>
        <m:r>
          <m:rPr>
            <m:sty m:val="p"/>
          </m:rPr>
          <w:rPr>
            <w:rFonts w:ascii="Cambria Math" w:hAnsi="Cambria Math"/>
            <w:lang w:val="en-US"/>
          </w:rPr>
          <m:t>(</m:t>
        </m:r>
        <m:sSub>
          <m:sSubPr>
            <m:ctrlPr>
              <w:rPr>
                <w:rFonts w:ascii="Cambria Math" w:hAnsi="Cambria Math"/>
                <w:lang w:val="en-US"/>
              </w:rPr>
            </m:ctrlPr>
          </m:sSubPr>
          <m:e>
            <m:r>
              <w:rPr>
                <w:rFonts w:ascii="Cambria Math" w:hAnsi="Cambria Math"/>
                <w:lang w:val="en-US"/>
              </w:rPr>
              <m:t>E</m:t>
            </m:r>
          </m:e>
          <m:sub>
            <m:r>
              <w:rPr>
                <w:rFonts w:ascii="Cambria Math" w:hAnsi="Cambria Math"/>
                <w:lang w:val="en-US"/>
              </w:rPr>
              <m:t>elastic</m:t>
            </m:r>
          </m:sub>
        </m:sSub>
        <m:r>
          <m:rPr>
            <m:sty m:val="p"/>
          </m:rPr>
          <w:rPr>
            <w:rFonts w:ascii="Cambria Math" w:hAnsi="Cambria Math"/>
            <w:lang w:val="en-US"/>
          </w:rPr>
          <m:t>,</m:t>
        </m:r>
        <m:sSub>
          <m:sSubPr>
            <m:ctrlPr>
              <w:rPr>
                <w:rFonts w:ascii="Cambria Math" w:hAnsi="Cambria Math"/>
                <w:lang w:val="en-US"/>
              </w:rPr>
            </m:ctrlPr>
          </m:sSubPr>
          <m:e>
            <m:r>
              <w:rPr>
                <w:rFonts w:ascii="Cambria Math" w:hAnsi="Cambria Math"/>
                <w:lang w:val="en-US"/>
              </w:rPr>
              <m:t>A</m:t>
            </m:r>
          </m:e>
          <m:sub>
            <m:r>
              <w:rPr>
                <w:rFonts w:ascii="Cambria Math" w:hAnsi="Cambria Math"/>
                <w:lang w:val="en-US"/>
              </w:rPr>
              <m:t>adh</m:t>
            </m:r>
          </m:sub>
        </m:sSub>
        <m:r>
          <m:rPr>
            <m:sty m:val="p"/>
          </m:rPr>
          <w:rPr>
            <w:rFonts w:ascii="Cambria Math" w:hAnsi="Cambria Math"/>
            <w:lang w:val="en-US"/>
          </w:rPr>
          <m:t>)</m:t>
        </m:r>
      </m:oMath>
      <w:r w:rsidR="007D1E04">
        <w:rPr>
          <w:lang w:val="en-US"/>
        </w:rPr>
        <w:t xml:space="preserve"> </w:t>
      </w:r>
      <w:r w:rsidR="007D1E04">
        <w:rPr>
          <w:lang w:val="en-US"/>
        </w:rPr>
        <w:tab/>
      </w:r>
      <w:r w:rsidR="007D1E04">
        <w:rPr>
          <w:lang w:val="en-US"/>
        </w:rPr>
        <w:tab/>
      </w:r>
      <w:r w:rsidR="007D1E04">
        <w:rPr>
          <w:lang w:val="en-US"/>
        </w:rPr>
        <w:tab/>
      </w:r>
      <w:r>
        <w:rPr>
          <w:lang w:val="en-US"/>
        </w:rPr>
        <w:t>(3)</w:t>
      </w:r>
    </w:p>
    <w:p w14:paraId="5202A8FC" w14:textId="62209216" w:rsidR="00721A56" w:rsidRDefault="00BE0AA8" w:rsidP="00085F70">
      <w:pPr>
        <w:pStyle w:val="CETBodytext"/>
      </w:pPr>
      <w:r>
        <w:t>where</w:t>
      </w:r>
      <w:r w:rsidR="00721A56" w:rsidRPr="001661C8">
        <w:t xml:space="preserve"> </w:t>
      </w:r>
      <m:oMath>
        <m:r>
          <w:rPr>
            <w:rFonts w:ascii="Cambria Math" w:hAnsi="Cambria Math"/>
          </w:rPr>
          <m:t>v</m:t>
        </m:r>
      </m:oMath>
      <w:r w:rsidR="00721A56" w:rsidRPr="001661C8">
        <w:t xml:space="preserve"> </w:t>
      </w:r>
      <w:bookmarkStart w:id="7" w:name="OLE_LINK4"/>
      <w:bookmarkStart w:id="8" w:name="OLE_LINK5"/>
      <w:r w:rsidR="00721A56" w:rsidRPr="001661C8">
        <w:t xml:space="preserve">— </w:t>
      </w:r>
      <w:r w:rsidR="005628F9" w:rsidRPr="005628F9">
        <w:t>particle velocity (m/s)</w:t>
      </w:r>
      <w:r w:rsidR="005628F9">
        <w:t>;</w:t>
      </w:r>
      <w:r w:rsidR="00721A56" w:rsidRPr="001661C8">
        <w:t xml:space="preserve"> </w:t>
      </w:r>
      <m:oMath>
        <m:r>
          <w:rPr>
            <w:rFonts w:ascii="Cambria Math" w:hAnsi="Cambria Math"/>
          </w:rPr>
          <m:t>d</m:t>
        </m:r>
      </m:oMath>
      <w:r w:rsidR="00721A56" w:rsidRPr="001661C8">
        <w:t xml:space="preserve"> — </w:t>
      </w:r>
      <w:r w:rsidR="005628F9" w:rsidRPr="005628F9">
        <w:t>particle diameter (m)</w:t>
      </w:r>
      <w:r w:rsidR="005628F9">
        <w:t>;</w:t>
      </w:r>
      <w:r w:rsidR="00721A56" w:rsidRPr="001661C8">
        <w:t xml:space="preserve"> </w:t>
      </w:r>
      <m:oMath>
        <m:sSub>
          <m:sSubPr>
            <m:ctrlPr>
              <w:rPr>
                <w:rFonts w:ascii="Cambria Math" w:hAnsi="Cambria Math"/>
              </w:rPr>
            </m:ctrlPr>
          </m:sSubPr>
          <m:e>
            <m:r>
              <w:rPr>
                <w:rFonts w:ascii="Cambria Math" w:hAnsi="Cambria Math"/>
              </w:rPr>
              <m:t>H</m:t>
            </m:r>
          </m:e>
          <m:sub>
            <m:r>
              <w:rPr>
                <w:rFonts w:ascii="Cambria Math" w:hAnsi="Cambria Math"/>
              </w:rPr>
              <m:t>eff</m:t>
            </m:r>
          </m:sub>
        </m:sSub>
      </m:oMath>
      <w:r w:rsidR="00721A56" w:rsidRPr="001661C8">
        <w:t xml:space="preserve"> — </w:t>
      </w:r>
      <w:r w:rsidR="005628F9" w:rsidRPr="005628F9">
        <w:t>effective hardness of the coating</w:t>
      </w:r>
      <w:r w:rsidR="005628F9">
        <w:t>;</w:t>
      </w:r>
      <w:r w:rsidR="00721A56" w:rsidRPr="001661C8">
        <w:t xml:space="preserve"> </w:t>
      </w:r>
      <m:oMath>
        <m:sSub>
          <m:sSubPr>
            <m:ctrlPr>
              <w:rPr>
                <w:rFonts w:ascii="Cambria Math" w:hAnsi="Cambria Math"/>
              </w:rPr>
            </m:ctrlPr>
          </m:sSubPr>
          <m:e>
            <m:r>
              <w:rPr>
                <w:rFonts w:ascii="Cambria Math" w:hAnsi="Cambria Math"/>
              </w:rPr>
              <m:t>E</m:t>
            </m:r>
          </m:e>
          <m:sub>
            <m:r>
              <w:rPr>
                <w:rFonts w:ascii="Cambria Math" w:hAnsi="Cambria Math"/>
              </w:rPr>
              <m:t>elastic</m:t>
            </m:r>
          </m:sub>
        </m:sSub>
      </m:oMath>
      <w:r w:rsidR="00721A56" w:rsidRPr="001661C8">
        <w:t xml:space="preserve"> — </w:t>
      </w:r>
      <w:r w:rsidR="005628F9" w:rsidRPr="005628F9">
        <w:t>elastic modulus</w:t>
      </w:r>
      <w:r w:rsidR="00721A56" w:rsidRPr="001661C8">
        <w:t xml:space="preserve">; </w:t>
      </w:r>
      <m:oMath>
        <m:sSub>
          <m:sSubPr>
            <m:ctrlPr>
              <w:rPr>
                <w:rFonts w:ascii="Cambria Math" w:hAnsi="Cambria Math"/>
              </w:rPr>
            </m:ctrlPr>
          </m:sSubPr>
          <m:e>
            <m:r>
              <w:rPr>
                <w:rFonts w:ascii="Cambria Math" w:hAnsi="Cambria Math"/>
              </w:rPr>
              <m:t>A</m:t>
            </m:r>
          </m:e>
          <m:sub>
            <m:r>
              <w:rPr>
                <w:rFonts w:ascii="Cambria Math" w:hAnsi="Cambria Math"/>
              </w:rPr>
              <m:t>adh</m:t>
            </m:r>
          </m:sub>
        </m:sSub>
      </m:oMath>
      <w:r w:rsidR="00721A56" w:rsidRPr="001661C8">
        <w:t xml:space="preserve">— </w:t>
      </w:r>
      <w:bookmarkEnd w:id="7"/>
      <w:bookmarkEnd w:id="8"/>
      <w:r w:rsidR="0034415A" w:rsidRPr="0034415A">
        <w:t>adhesion energy</w:t>
      </w:r>
      <w:r w:rsidR="00721A56" w:rsidRPr="001661C8">
        <w:t>.</w:t>
      </w:r>
    </w:p>
    <w:p w14:paraId="139EEDE2" w14:textId="7024AABF" w:rsidR="00721A56" w:rsidRDefault="00BE0AA8" w:rsidP="00085F70">
      <w:pPr>
        <w:pStyle w:val="CETBodytext"/>
      </w:pPr>
      <w:r w:rsidRPr="00BE0AA8">
        <w:t>This approach enables direct consideration of material properties in erosion behavior. Cavitation potential was evaluated using the Net Positive Suction Head (NPSH) criterion</w:t>
      </w:r>
      <w:r w:rsidR="00532481">
        <w:t>:</w:t>
      </w:r>
    </w:p>
    <w:p w14:paraId="71971FAC" w14:textId="31DA7B54" w:rsidR="00532481" w:rsidRDefault="00532481" w:rsidP="007D1E04">
      <w:pPr>
        <w:pStyle w:val="CETEquation"/>
        <w:tabs>
          <w:tab w:val="clear" w:pos="7100"/>
          <w:tab w:val="right" w:pos="4111"/>
        </w:tabs>
        <w:jc w:val="right"/>
        <w:rPr>
          <w:lang w:val="en-US"/>
        </w:rPr>
      </w:pPr>
      <m:oMath>
        <m:r>
          <w:rPr>
            <w:rFonts w:ascii="Cambria Math" w:hAnsi="Cambria Math"/>
            <w:lang w:val="en-US"/>
          </w:rPr>
          <m:t>NPSH</m:t>
        </m:r>
        <m:r>
          <m:rPr>
            <m:sty m:val="p"/>
          </m:rPr>
          <w:rPr>
            <w:rFonts w:ascii="Cambria Math" w:hAnsi="Cambria Math"/>
            <w:lang w:val="en-US"/>
          </w:rPr>
          <m:t>=</m:t>
        </m:r>
        <m:f>
          <m:fPr>
            <m:ctrlPr>
              <w:rPr>
                <w:rFonts w:ascii="Cambria Math" w:hAnsi="Cambria Math"/>
                <w:lang w:val="en-US"/>
              </w:rPr>
            </m:ctrlPr>
          </m:fPr>
          <m:num>
            <m:r>
              <w:rPr>
                <w:rFonts w:ascii="Cambria Math" w:hAnsi="Cambria Math"/>
                <w:lang w:val="en-US"/>
              </w:rPr>
              <m:t>p</m:t>
            </m:r>
          </m:num>
          <m:den>
            <m:r>
              <w:rPr>
                <w:rFonts w:ascii="Cambria Math" w:hAnsi="Cambria Math"/>
                <w:lang w:val="en-US"/>
              </w:rPr>
              <m:t>ρg</m:t>
            </m:r>
          </m:den>
        </m:f>
        <m:r>
          <m:rPr>
            <m:sty m:val="p"/>
          </m:rPr>
          <w:rPr>
            <w:rFonts w:ascii="Cambria Math" w:hAnsi="Cambria Math"/>
            <w:lang w:val="en-US"/>
          </w:rPr>
          <m:t>+</m:t>
        </m:r>
        <m:f>
          <m:fPr>
            <m:ctrlPr>
              <w:rPr>
                <w:rFonts w:ascii="Cambria Math" w:hAnsi="Cambria Math"/>
                <w:lang w:val="en-US"/>
              </w:rPr>
            </m:ctrlPr>
          </m:fPr>
          <m:num>
            <m:sSup>
              <m:sSupPr>
                <m:ctrlPr>
                  <w:rPr>
                    <w:rFonts w:ascii="Cambria Math" w:hAnsi="Cambria Math"/>
                    <w:lang w:val="en-US"/>
                  </w:rPr>
                </m:ctrlPr>
              </m:sSupPr>
              <m:e>
                <m:r>
                  <w:rPr>
                    <w:rFonts w:ascii="Cambria Math" w:hAnsi="Cambria Math"/>
                    <w:lang w:val="en-US"/>
                  </w:rPr>
                  <m:t>v</m:t>
                </m:r>
              </m:e>
              <m:sup>
                <m:r>
                  <m:rPr>
                    <m:sty m:val="p"/>
                  </m:rPr>
                  <w:rPr>
                    <w:rFonts w:ascii="Cambria Math" w:hAnsi="Cambria Math"/>
                    <w:lang w:val="en-US"/>
                  </w:rPr>
                  <m:t>2</m:t>
                </m:r>
              </m:sup>
            </m:sSup>
          </m:num>
          <m:den>
            <m:r>
              <m:rPr>
                <m:sty m:val="p"/>
              </m:rPr>
              <w:rPr>
                <w:rFonts w:ascii="Cambria Math" w:hAnsi="Cambria Math"/>
                <w:lang w:val="en-US"/>
              </w:rPr>
              <m:t>2</m:t>
            </m:r>
            <m:r>
              <w:rPr>
                <w:rFonts w:ascii="Cambria Math" w:hAnsi="Cambria Math"/>
                <w:lang w:val="en-US"/>
              </w:rPr>
              <m:t>g</m:t>
            </m:r>
          </m:den>
        </m:f>
        <m:r>
          <m:rPr>
            <m:sty m:val="p"/>
          </m:rPr>
          <w:rPr>
            <w:rFonts w:ascii="Cambria Math" w:hAnsi="Cambria Math"/>
            <w:lang w:val="en-US"/>
          </w:rPr>
          <m:t>-</m:t>
        </m:r>
        <m:f>
          <m:fPr>
            <m:ctrlPr>
              <w:rPr>
                <w:rFonts w:ascii="Cambria Math" w:hAnsi="Cambria Math"/>
                <w:lang w:val="en-US"/>
              </w:rPr>
            </m:ctrlPr>
          </m:fPr>
          <m:num>
            <m:sSub>
              <m:sSubPr>
                <m:ctrlPr>
                  <w:rPr>
                    <w:rFonts w:ascii="Cambria Math" w:hAnsi="Cambria Math"/>
                    <w:lang w:val="en-US"/>
                  </w:rPr>
                </m:ctrlPr>
              </m:sSubPr>
              <m:e>
                <m:r>
                  <w:rPr>
                    <w:rFonts w:ascii="Cambria Math" w:hAnsi="Cambria Math"/>
                    <w:lang w:val="en-US"/>
                  </w:rPr>
                  <m:t>p</m:t>
                </m:r>
              </m:e>
              <m:sub>
                <m:r>
                  <w:rPr>
                    <w:rFonts w:ascii="Cambria Math" w:hAnsi="Cambria Math"/>
                    <w:lang w:val="en-US"/>
                  </w:rPr>
                  <m:t>v</m:t>
                </m:r>
              </m:sub>
            </m:sSub>
          </m:num>
          <m:den>
            <m:r>
              <w:rPr>
                <w:rFonts w:ascii="Cambria Math" w:hAnsi="Cambria Math"/>
                <w:lang w:val="en-US"/>
              </w:rPr>
              <m:t>ρg</m:t>
            </m:r>
          </m:den>
        </m:f>
      </m:oMath>
      <w:r w:rsidR="007D1E04">
        <w:rPr>
          <w:lang w:val="en-US"/>
        </w:rPr>
        <w:tab/>
      </w:r>
      <w:r w:rsidR="007D1E04">
        <w:rPr>
          <w:lang w:val="en-US"/>
        </w:rPr>
        <w:tab/>
      </w:r>
      <w:r>
        <w:rPr>
          <w:lang w:val="en-US"/>
        </w:rPr>
        <w:t>(4)</w:t>
      </w:r>
    </w:p>
    <w:p w14:paraId="21D52C2A" w14:textId="21D14518" w:rsidR="00D041FE" w:rsidRDefault="0034415A" w:rsidP="00C163AE">
      <w:pPr>
        <w:pStyle w:val="CETBodytext"/>
        <w:spacing w:before="120" w:after="120"/>
      </w:pPr>
      <w:r w:rsidRPr="0034415A">
        <w:t xml:space="preserve">Low-pressure regions were identified, and the shift in cavitation inception under different coating conditions was analyzed. </w:t>
      </w:r>
      <w:r w:rsidR="00C163AE">
        <w:t>The numerical simulations were performed using COMSOL Multiphysics within an Euler–Lagrange framework. The continuous hydro-mixture phase was described by the Navier–Stokes equations, while the dispersed solid particles were tracked as a discrete phase. Turbulence was represented using the realizable k–ε model. The inlet boundary was specified according to the operating flow condition of the investigated pump, whereas the outlet was defined by the corresponding pressure condition. A no-slip condition was imposed on the internal solid walls. Solid particles were introduced at the inlet and tracked through the pump domain to identify particle-impact and erosion-prone regions. A structured computational mesh was employed. Mesh sensitivity was evaluated using progressively refined meshes by comparing the predicted velocity and pressure fields. Further refinement resulted in only minor variations in the principal hydraulic parameters; therefore, a mesh containing fewer than 100,000 elements was considered sufficient to provide an appropriate balance between numerical accuracy and computational cost.</w:t>
      </w:r>
    </w:p>
    <w:p w14:paraId="31473C9C" w14:textId="4EE6AB28" w:rsidR="00CD000F" w:rsidRPr="00CD000F" w:rsidRDefault="009014E3" w:rsidP="00186619">
      <w:pPr>
        <w:pStyle w:val="CETHeading1"/>
        <w:spacing w:before="120"/>
        <w:rPr>
          <w:sz w:val="16"/>
        </w:rPr>
      </w:pPr>
      <w:r>
        <w:t>Result</w:t>
      </w:r>
      <w:r w:rsidR="00E02734" w:rsidRPr="00CD000F">
        <w:t xml:space="preserve"> </w:t>
      </w:r>
    </w:p>
    <w:p w14:paraId="6A745D48" w14:textId="356DED65" w:rsidR="00E02734" w:rsidRPr="00CD000F" w:rsidRDefault="00996795" w:rsidP="00085F70">
      <w:pPr>
        <w:pStyle w:val="CETBodytext"/>
        <w:rPr>
          <w:b/>
          <w:sz w:val="16"/>
        </w:rPr>
      </w:pPr>
      <w:r>
        <w:t>The results are presented in three stages: characterization of pump operating conditions and hydro-mixture properties, evaluation of the epoxy composite, and CFD analysis of flow, erosion,</w:t>
      </w:r>
      <w:r>
        <w:t xml:space="preserve"> cavitation and pump efficiency</w:t>
      </w:r>
      <w:r w:rsidR="009014E3" w:rsidRPr="009014E3">
        <w:rPr>
          <w:rFonts w:cs="Arial"/>
          <w:szCs w:val="18"/>
        </w:rPr>
        <w:t xml:space="preserve"> (</w:t>
      </w:r>
      <w:bookmarkStart w:id="9" w:name="OLE_LINK18"/>
      <w:bookmarkStart w:id="10" w:name="OLE_LINK23"/>
      <w:r w:rsidR="009014E3" w:rsidRPr="009014E3">
        <w:rPr>
          <w:rFonts w:cs="Arial"/>
          <w:szCs w:val="18"/>
        </w:rPr>
        <w:t>Table 1</w:t>
      </w:r>
      <w:bookmarkEnd w:id="9"/>
      <w:bookmarkEnd w:id="10"/>
      <w:r w:rsidR="009014E3" w:rsidRPr="009014E3">
        <w:rPr>
          <w:rFonts w:cs="Arial"/>
          <w:szCs w:val="18"/>
        </w:rPr>
        <w:t>)</w:t>
      </w:r>
      <w:r w:rsidR="00E02734" w:rsidRPr="00CD000F">
        <w:rPr>
          <w:rFonts w:cs="Arial"/>
          <w:szCs w:val="18"/>
          <w:lang w:val="uz-Cyrl-UZ"/>
        </w:rPr>
        <w:t xml:space="preserve">. </w:t>
      </w:r>
    </w:p>
    <w:p w14:paraId="5B65063B" w14:textId="5B32B0B2" w:rsidR="00E02734" w:rsidRPr="002C0B9A" w:rsidRDefault="009014E3" w:rsidP="002C0B9A">
      <w:pPr>
        <w:tabs>
          <w:tab w:val="clear" w:pos="7100"/>
        </w:tabs>
        <w:spacing w:line="240" w:lineRule="auto"/>
        <w:ind w:firstLine="708"/>
        <w:jc w:val="center"/>
        <w:rPr>
          <w:rFonts w:cs="Arial"/>
          <w:b/>
          <w:szCs w:val="18"/>
          <w:lang w:val="uz-Cyrl-UZ"/>
        </w:rPr>
      </w:pPr>
      <w:r w:rsidRPr="002C0B9A">
        <w:rPr>
          <w:rFonts w:cs="Arial"/>
          <w:b/>
          <w:szCs w:val="18"/>
        </w:rPr>
        <w:t>Table 1</w:t>
      </w:r>
      <w:r w:rsidR="005E1012" w:rsidRPr="002C0B9A">
        <w:rPr>
          <w:rFonts w:cs="Arial"/>
          <w:b/>
          <w:szCs w:val="18"/>
          <w:lang w:val="en-US"/>
        </w:rPr>
        <w:t xml:space="preserve">: </w:t>
      </w:r>
      <w:r w:rsidR="002C0B9A" w:rsidRPr="002C0B9A">
        <w:rPr>
          <w:rFonts w:cs="Arial"/>
          <w:b/>
          <w:szCs w:val="18"/>
          <w:lang w:val="uz-Cyrl-UZ"/>
        </w:rPr>
        <w:t>Operating characteristics of pumps used in a copper beneficiation plant</w:t>
      </w:r>
    </w:p>
    <w:tbl>
      <w:tblPr>
        <w:tblW w:w="8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
        <w:gridCol w:w="1475"/>
        <w:gridCol w:w="951"/>
        <w:gridCol w:w="1050"/>
        <w:gridCol w:w="1052"/>
        <w:gridCol w:w="1317"/>
        <w:gridCol w:w="1046"/>
        <w:gridCol w:w="1595"/>
      </w:tblGrid>
      <w:tr w:rsidR="00E02734" w:rsidRPr="00E02734" w14:paraId="44FE3248" w14:textId="77777777" w:rsidTr="00186619">
        <w:trPr>
          <w:trHeight w:val="536"/>
          <w:jc w:val="center"/>
        </w:trPr>
        <w:tc>
          <w:tcPr>
            <w:tcW w:w="447" w:type="dxa"/>
          </w:tcPr>
          <w:p w14:paraId="4DACEF9B" w14:textId="77777777" w:rsidR="00E02734" w:rsidRPr="00E02734" w:rsidRDefault="00E02734" w:rsidP="00D041FE">
            <w:pPr>
              <w:tabs>
                <w:tab w:val="clear" w:pos="7100"/>
              </w:tabs>
              <w:spacing w:line="240" w:lineRule="auto"/>
              <w:jc w:val="center"/>
              <w:rPr>
                <w:rFonts w:cs="Arial"/>
                <w:b/>
                <w:noProof/>
                <w:szCs w:val="18"/>
                <w:lang w:val="uz-Cyrl-UZ" w:eastAsia="ru-RU"/>
              </w:rPr>
            </w:pPr>
            <w:r w:rsidRPr="00E02734">
              <w:rPr>
                <w:rFonts w:cs="Arial"/>
                <w:b/>
                <w:noProof/>
                <w:szCs w:val="18"/>
                <w:lang w:val="uz-Cyrl-UZ" w:eastAsia="ru-RU"/>
              </w:rPr>
              <w:t>№</w:t>
            </w:r>
          </w:p>
        </w:tc>
        <w:tc>
          <w:tcPr>
            <w:tcW w:w="1475" w:type="dxa"/>
          </w:tcPr>
          <w:p w14:paraId="7E70F5E8" w14:textId="43B139CF" w:rsidR="00E02734" w:rsidRPr="00E02734" w:rsidRDefault="00641A16" w:rsidP="00D041FE">
            <w:pPr>
              <w:tabs>
                <w:tab w:val="clear" w:pos="7100"/>
              </w:tabs>
              <w:spacing w:line="240" w:lineRule="auto"/>
              <w:jc w:val="center"/>
              <w:rPr>
                <w:rFonts w:cs="Arial"/>
                <w:b/>
                <w:noProof/>
                <w:szCs w:val="18"/>
                <w:lang w:val="en-US" w:eastAsia="ru-RU"/>
              </w:rPr>
            </w:pPr>
            <w:r>
              <w:rPr>
                <w:rFonts w:cs="Arial"/>
                <w:b/>
                <w:noProof/>
                <w:szCs w:val="18"/>
                <w:lang w:val="en-US" w:eastAsia="ru-RU"/>
              </w:rPr>
              <w:t>P</w:t>
            </w:r>
            <w:r w:rsidRPr="00641A16">
              <w:rPr>
                <w:rFonts w:cs="Arial"/>
                <w:b/>
                <w:noProof/>
                <w:szCs w:val="18"/>
                <w:lang w:val="en-US" w:eastAsia="ru-RU"/>
              </w:rPr>
              <w:t>ump model</w:t>
            </w:r>
          </w:p>
        </w:tc>
        <w:tc>
          <w:tcPr>
            <w:tcW w:w="951" w:type="dxa"/>
          </w:tcPr>
          <w:p w14:paraId="4E96B500" w14:textId="02EB42F2" w:rsidR="00E02734" w:rsidRPr="00641A16" w:rsidRDefault="00E02734" w:rsidP="00641A16">
            <w:pPr>
              <w:tabs>
                <w:tab w:val="clear" w:pos="7100"/>
              </w:tabs>
              <w:spacing w:line="240" w:lineRule="auto"/>
              <w:jc w:val="center"/>
              <w:rPr>
                <w:rFonts w:cs="Arial"/>
                <w:b/>
                <w:noProof/>
                <w:szCs w:val="18"/>
                <w:lang w:val="en-US" w:eastAsia="ru-RU"/>
              </w:rPr>
            </w:pPr>
            <w:r w:rsidRPr="00E02734">
              <w:rPr>
                <w:rFonts w:cs="Arial"/>
                <w:b/>
                <w:noProof/>
                <w:szCs w:val="18"/>
                <w:lang w:val="en-US" w:eastAsia="ru-RU"/>
              </w:rPr>
              <w:t>m</w:t>
            </w:r>
            <w:r w:rsidRPr="00E02734">
              <w:rPr>
                <w:rFonts w:cs="Arial"/>
                <w:b/>
                <w:noProof/>
                <w:szCs w:val="18"/>
                <w:vertAlign w:val="superscript"/>
                <w:lang w:val="uz-Cyrl-UZ" w:eastAsia="ru-RU"/>
              </w:rPr>
              <w:t>3</w:t>
            </w:r>
            <w:r w:rsidRPr="00E02734">
              <w:rPr>
                <w:rFonts w:cs="Arial"/>
                <w:b/>
                <w:noProof/>
                <w:szCs w:val="18"/>
                <w:lang w:val="uz-Cyrl-UZ" w:eastAsia="ru-RU"/>
              </w:rPr>
              <w:t>/</w:t>
            </w:r>
            <w:r w:rsidR="00641A16">
              <w:rPr>
                <w:rFonts w:cs="Arial"/>
                <w:b/>
                <w:noProof/>
                <w:szCs w:val="18"/>
                <w:lang w:val="en-US" w:eastAsia="ru-RU"/>
              </w:rPr>
              <w:t>h</w:t>
            </w:r>
          </w:p>
        </w:tc>
        <w:tc>
          <w:tcPr>
            <w:tcW w:w="1050" w:type="dxa"/>
          </w:tcPr>
          <w:p w14:paraId="06AA9440" w14:textId="4C3C602F" w:rsidR="00E02734" w:rsidRPr="00E02734" w:rsidRDefault="00641A16" w:rsidP="00D041FE">
            <w:pPr>
              <w:tabs>
                <w:tab w:val="clear" w:pos="7100"/>
              </w:tabs>
              <w:spacing w:line="240" w:lineRule="auto"/>
              <w:jc w:val="center"/>
              <w:rPr>
                <w:rFonts w:cs="Arial"/>
                <w:b/>
                <w:noProof/>
                <w:szCs w:val="18"/>
                <w:lang w:val="en-US" w:eastAsia="ru-RU"/>
              </w:rPr>
            </w:pPr>
            <w:r>
              <w:rPr>
                <w:rFonts w:cs="Arial"/>
                <w:b/>
                <w:noProof/>
                <w:szCs w:val="18"/>
                <w:lang w:val="en-US" w:eastAsia="ru-RU"/>
              </w:rPr>
              <w:t>Head</w:t>
            </w:r>
            <w:r w:rsidR="00E02734" w:rsidRPr="00E02734">
              <w:rPr>
                <w:rFonts w:cs="Arial"/>
                <w:b/>
                <w:noProof/>
                <w:szCs w:val="18"/>
                <w:lang w:val="ru-RU" w:eastAsia="ru-RU"/>
              </w:rPr>
              <w:t xml:space="preserve">, </w:t>
            </w:r>
            <w:r w:rsidR="00E02734" w:rsidRPr="00E02734">
              <w:rPr>
                <w:rFonts w:cs="Arial"/>
                <w:b/>
                <w:noProof/>
                <w:szCs w:val="18"/>
                <w:lang w:val="en-US" w:eastAsia="ru-RU"/>
              </w:rPr>
              <w:t>m</w:t>
            </w:r>
          </w:p>
        </w:tc>
        <w:tc>
          <w:tcPr>
            <w:tcW w:w="1052" w:type="dxa"/>
          </w:tcPr>
          <w:p w14:paraId="59060728" w14:textId="19672E02" w:rsidR="00E02734" w:rsidRPr="00E02734" w:rsidRDefault="00641A16" w:rsidP="00D041FE">
            <w:pPr>
              <w:tabs>
                <w:tab w:val="clear" w:pos="7100"/>
              </w:tabs>
              <w:spacing w:line="240" w:lineRule="auto"/>
              <w:jc w:val="center"/>
              <w:rPr>
                <w:rFonts w:cs="Arial"/>
                <w:b/>
                <w:noProof/>
                <w:szCs w:val="18"/>
                <w:lang w:val="ru-RU" w:eastAsia="ru-RU"/>
              </w:rPr>
            </w:pPr>
            <w:r w:rsidRPr="00641A16">
              <w:rPr>
                <w:rFonts w:cs="Arial"/>
                <w:b/>
                <w:noProof/>
                <w:szCs w:val="18"/>
                <w:lang w:val="en-US" w:eastAsia="ru-RU"/>
              </w:rPr>
              <w:t>efficiency</w:t>
            </w:r>
            <w:r w:rsidR="00E02734" w:rsidRPr="00E02734">
              <w:rPr>
                <w:rFonts w:cs="Arial"/>
                <w:b/>
                <w:noProof/>
                <w:szCs w:val="18"/>
                <w:lang w:val="ru-RU" w:eastAsia="ru-RU"/>
              </w:rPr>
              <w:t xml:space="preserve"> %</w:t>
            </w:r>
          </w:p>
        </w:tc>
        <w:tc>
          <w:tcPr>
            <w:tcW w:w="1317" w:type="dxa"/>
          </w:tcPr>
          <w:p w14:paraId="574D744E" w14:textId="63F87F7D" w:rsidR="00E02734" w:rsidRPr="00E02734" w:rsidRDefault="00641A16" w:rsidP="00D041FE">
            <w:pPr>
              <w:tabs>
                <w:tab w:val="clear" w:pos="7100"/>
              </w:tabs>
              <w:spacing w:line="240" w:lineRule="auto"/>
              <w:jc w:val="center"/>
              <w:rPr>
                <w:rFonts w:cs="Arial"/>
                <w:b/>
                <w:noProof/>
                <w:szCs w:val="18"/>
                <w:lang w:val="en-US" w:eastAsia="ru-RU"/>
              </w:rPr>
            </w:pPr>
            <w:r w:rsidRPr="00641A16">
              <w:rPr>
                <w:rFonts w:cs="Arial"/>
                <w:b/>
                <w:noProof/>
                <w:szCs w:val="18"/>
                <w:lang w:val="en-US" w:eastAsia="ru-RU"/>
              </w:rPr>
              <w:t>impeller diameter (D)</w:t>
            </w:r>
          </w:p>
        </w:tc>
        <w:tc>
          <w:tcPr>
            <w:tcW w:w="1046" w:type="dxa"/>
          </w:tcPr>
          <w:p w14:paraId="5173A7F5" w14:textId="47949265" w:rsidR="00E02734" w:rsidRPr="00641A16" w:rsidRDefault="00641A16" w:rsidP="00D041FE">
            <w:pPr>
              <w:tabs>
                <w:tab w:val="clear" w:pos="7100"/>
              </w:tabs>
              <w:spacing w:line="240" w:lineRule="auto"/>
              <w:jc w:val="center"/>
              <w:rPr>
                <w:rFonts w:cs="Arial"/>
                <w:b/>
                <w:noProof/>
                <w:szCs w:val="18"/>
                <w:lang w:val="en-US" w:eastAsia="ru-RU"/>
              </w:rPr>
            </w:pPr>
            <w:bookmarkStart w:id="11" w:name="OLE_LINK13"/>
            <w:bookmarkStart w:id="12" w:name="OLE_LINK14"/>
            <w:r>
              <w:rPr>
                <w:rFonts w:cs="Arial"/>
                <w:b/>
                <w:noProof/>
                <w:szCs w:val="18"/>
                <w:lang w:val="en-US" w:eastAsia="ru-RU"/>
              </w:rPr>
              <w:t>Power</w:t>
            </w:r>
            <w:r w:rsidR="00E02734" w:rsidRPr="00E02734">
              <w:rPr>
                <w:rFonts w:cs="Arial"/>
                <w:b/>
                <w:noProof/>
                <w:szCs w:val="18"/>
                <w:lang w:val="ru-RU" w:eastAsia="ru-RU"/>
              </w:rPr>
              <w:t xml:space="preserve"> </w:t>
            </w:r>
            <w:r w:rsidR="00E02734" w:rsidRPr="00E02734">
              <w:rPr>
                <w:rFonts w:cs="Arial"/>
                <w:b/>
                <w:noProof/>
                <w:szCs w:val="18"/>
                <w:lang w:val="uz-Cyrl-UZ" w:eastAsia="ru-RU"/>
              </w:rPr>
              <w:t xml:space="preserve">– </w:t>
            </w:r>
            <w:r w:rsidR="00E02734" w:rsidRPr="00E02734">
              <w:rPr>
                <w:rFonts w:cs="Arial"/>
                <w:b/>
                <w:noProof/>
                <w:szCs w:val="18"/>
                <w:lang w:val="en-US" w:eastAsia="ru-RU"/>
              </w:rPr>
              <w:t xml:space="preserve">N, </w:t>
            </w:r>
            <w:r w:rsidR="00E02734" w:rsidRPr="00E02734">
              <w:rPr>
                <w:rFonts w:cs="Arial"/>
                <w:b/>
                <w:noProof/>
                <w:szCs w:val="18"/>
                <w:lang w:val="ru-RU" w:eastAsia="ru-RU"/>
              </w:rPr>
              <w:t>k</w:t>
            </w:r>
            <w:bookmarkEnd w:id="11"/>
            <w:bookmarkEnd w:id="12"/>
            <w:r>
              <w:rPr>
                <w:rFonts w:cs="Arial"/>
                <w:b/>
                <w:noProof/>
                <w:szCs w:val="18"/>
                <w:lang w:val="en-US" w:eastAsia="ru-RU"/>
              </w:rPr>
              <w:t>W</w:t>
            </w:r>
          </w:p>
        </w:tc>
        <w:tc>
          <w:tcPr>
            <w:tcW w:w="1595" w:type="dxa"/>
          </w:tcPr>
          <w:p w14:paraId="5CFF30C1" w14:textId="590CEC5D" w:rsidR="00E02734" w:rsidRPr="00E02734" w:rsidRDefault="00763DCC" w:rsidP="00763DCC">
            <w:pPr>
              <w:tabs>
                <w:tab w:val="clear" w:pos="7100"/>
              </w:tabs>
              <w:spacing w:line="240" w:lineRule="auto"/>
              <w:jc w:val="center"/>
              <w:rPr>
                <w:rFonts w:cs="Arial"/>
                <w:b/>
                <w:noProof/>
                <w:szCs w:val="18"/>
                <w:lang w:val="en-US" w:eastAsia="ru-RU"/>
              </w:rPr>
            </w:pPr>
            <w:bookmarkStart w:id="13" w:name="OLE_LINK15"/>
            <w:r w:rsidRPr="00763DCC">
              <w:rPr>
                <w:rFonts w:cs="Arial"/>
                <w:b/>
                <w:noProof/>
                <w:szCs w:val="18"/>
                <w:lang w:val="en-US" w:eastAsia="ru-RU"/>
              </w:rPr>
              <w:t xml:space="preserve">Rotational speed </w:t>
            </w:r>
            <w:bookmarkEnd w:id="13"/>
            <w:r>
              <w:rPr>
                <w:rFonts w:cs="Arial"/>
                <w:b/>
                <w:noProof/>
                <w:szCs w:val="18"/>
                <w:lang w:val="en-US" w:eastAsia="ru-RU"/>
              </w:rPr>
              <w:t>rpm</w:t>
            </w:r>
          </w:p>
        </w:tc>
      </w:tr>
      <w:tr w:rsidR="00E02734" w:rsidRPr="00E02734" w14:paraId="0DB16986" w14:textId="77777777" w:rsidTr="00186619">
        <w:trPr>
          <w:trHeight w:val="218"/>
          <w:jc w:val="center"/>
        </w:trPr>
        <w:tc>
          <w:tcPr>
            <w:tcW w:w="447" w:type="dxa"/>
          </w:tcPr>
          <w:p w14:paraId="66DBC9A6" w14:textId="77777777" w:rsidR="00E02734" w:rsidRPr="00E02734" w:rsidRDefault="00E02734" w:rsidP="00D041FE">
            <w:pPr>
              <w:tabs>
                <w:tab w:val="clear" w:pos="7100"/>
              </w:tabs>
              <w:spacing w:line="240" w:lineRule="auto"/>
              <w:jc w:val="center"/>
              <w:rPr>
                <w:rFonts w:cs="Arial"/>
                <w:noProof/>
                <w:szCs w:val="18"/>
                <w:lang w:val="ru-RU" w:eastAsia="ru-RU"/>
              </w:rPr>
            </w:pPr>
            <w:r w:rsidRPr="00E02734">
              <w:rPr>
                <w:rFonts w:cs="Arial"/>
                <w:noProof/>
                <w:szCs w:val="18"/>
                <w:lang w:val="ru-RU" w:eastAsia="ru-RU"/>
              </w:rPr>
              <w:t>1</w:t>
            </w:r>
          </w:p>
        </w:tc>
        <w:tc>
          <w:tcPr>
            <w:tcW w:w="1475" w:type="dxa"/>
          </w:tcPr>
          <w:p w14:paraId="18D3C8D0" w14:textId="77777777" w:rsidR="00E02734" w:rsidRPr="00E02734" w:rsidRDefault="00E02734" w:rsidP="00D041FE">
            <w:pPr>
              <w:tabs>
                <w:tab w:val="clear" w:pos="7100"/>
              </w:tabs>
              <w:spacing w:line="240" w:lineRule="auto"/>
              <w:jc w:val="center"/>
              <w:rPr>
                <w:rFonts w:cs="Arial"/>
                <w:noProof/>
                <w:szCs w:val="18"/>
                <w:lang w:val="ru-RU" w:eastAsia="ru-RU"/>
              </w:rPr>
            </w:pPr>
            <w:r w:rsidRPr="00E02734">
              <w:rPr>
                <w:rFonts w:cs="Arial"/>
                <w:noProof/>
                <w:szCs w:val="18"/>
                <w:lang w:val="en-US" w:eastAsia="ru-RU"/>
              </w:rPr>
              <w:t>GrAT</w:t>
            </w:r>
            <w:r w:rsidRPr="00E02734">
              <w:rPr>
                <w:rFonts w:cs="Arial"/>
                <w:noProof/>
                <w:szCs w:val="18"/>
                <w:lang w:val="ru-RU" w:eastAsia="ru-RU"/>
              </w:rPr>
              <w:t xml:space="preserve"> 170/40</w:t>
            </w:r>
          </w:p>
        </w:tc>
        <w:tc>
          <w:tcPr>
            <w:tcW w:w="951" w:type="dxa"/>
          </w:tcPr>
          <w:p w14:paraId="0FCB8F6F" w14:textId="77777777" w:rsidR="00E02734" w:rsidRPr="00E02734" w:rsidRDefault="00E02734" w:rsidP="00D041FE">
            <w:pPr>
              <w:tabs>
                <w:tab w:val="clear" w:pos="7100"/>
              </w:tabs>
              <w:spacing w:line="240" w:lineRule="auto"/>
              <w:jc w:val="center"/>
              <w:rPr>
                <w:rFonts w:cs="Arial"/>
                <w:noProof/>
                <w:szCs w:val="18"/>
                <w:lang w:val="ru-RU" w:eastAsia="ru-RU"/>
              </w:rPr>
            </w:pPr>
            <w:r w:rsidRPr="00E02734">
              <w:rPr>
                <w:rFonts w:cs="Arial"/>
                <w:noProof/>
                <w:szCs w:val="18"/>
                <w:lang w:val="ru-RU" w:eastAsia="ru-RU"/>
              </w:rPr>
              <w:t>170</w:t>
            </w:r>
          </w:p>
        </w:tc>
        <w:tc>
          <w:tcPr>
            <w:tcW w:w="1050" w:type="dxa"/>
          </w:tcPr>
          <w:p w14:paraId="0F4A4DD3" w14:textId="77777777" w:rsidR="00E02734" w:rsidRPr="00E02734" w:rsidRDefault="00E02734" w:rsidP="00D041FE">
            <w:pPr>
              <w:tabs>
                <w:tab w:val="clear" w:pos="7100"/>
              </w:tabs>
              <w:spacing w:line="240" w:lineRule="auto"/>
              <w:jc w:val="center"/>
              <w:rPr>
                <w:rFonts w:cs="Arial"/>
                <w:noProof/>
                <w:szCs w:val="18"/>
                <w:lang w:val="ru-RU" w:eastAsia="ru-RU"/>
              </w:rPr>
            </w:pPr>
            <w:r w:rsidRPr="00E02734">
              <w:rPr>
                <w:rFonts w:cs="Arial"/>
                <w:noProof/>
                <w:szCs w:val="18"/>
                <w:lang w:val="ru-RU" w:eastAsia="ru-RU"/>
              </w:rPr>
              <w:t>40</w:t>
            </w:r>
          </w:p>
        </w:tc>
        <w:tc>
          <w:tcPr>
            <w:tcW w:w="1052" w:type="dxa"/>
          </w:tcPr>
          <w:p w14:paraId="3098497B" w14:textId="77777777" w:rsidR="00E02734" w:rsidRPr="00E02734" w:rsidRDefault="00E02734" w:rsidP="00D041FE">
            <w:pPr>
              <w:tabs>
                <w:tab w:val="clear" w:pos="7100"/>
              </w:tabs>
              <w:spacing w:line="240" w:lineRule="auto"/>
              <w:jc w:val="center"/>
              <w:rPr>
                <w:rFonts w:cs="Arial"/>
                <w:noProof/>
                <w:szCs w:val="18"/>
                <w:lang w:val="en-US" w:eastAsia="ru-RU"/>
              </w:rPr>
            </w:pPr>
            <w:r w:rsidRPr="00E02734">
              <w:rPr>
                <w:rFonts w:cs="Arial"/>
                <w:noProof/>
                <w:szCs w:val="18"/>
                <w:lang w:val="en-US" w:eastAsia="ru-RU"/>
              </w:rPr>
              <w:t>60</w:t>
            </w:r>
          </w:p>
        </w:tc>
        <w:tc>
          <w:tcPr>
            <w:tcW w:w="1317" w:type="dxa"/>
          </w:tcPr>
          <w:p w14:paraId="5D47C581" w14:textId="77777777" w:rsidR="00E02734" w:rsidRPr="00E02734" w:rsidRDefault="00E02734" w:rsidP="00D041FE">
            <w:pPr>
              <w:tabs>
                <w:tab w:val="clear" w:pos="7100"/>
              </w:tabs>
              <w:spacing w:line="240" w:lineRule="auto"/>
              <w:jc w:val="center"/>
              <w:rPr>
                <w:rFonts w:cs="Arial"/>
                <w:noProof/>
                <w:szCs w:val="18"/>
                <w:lang w:val="en-US" w:eastAsia="ru-RU"/>
              </w:rPr>
            </w:pPr>
            <w:r w:rsidRPr="00E02734">
              <w:rPr>
                <w:rFonts w:cs="Arial"/>
                <w:noProof/>
                <w:szCs w:val="18"/>
                <w:lang w:val="ru-RU" w:eastAsia="ru-RU"/>
              </w:rPr>
              <w:t>345</w:t>
            </w:r>
          </w:p>
        </w:tc>
        <w:tc>
          <w:tcPr>
            <w:tcW w:w="1046" w:type="dxa"/>
          </w:tcPr>
          <w:p w14:paraId="2570CD31" w14:textId="77777777" w:rsidR="00E02734" w:rsidRPr="00E02734" w:rsidRDefault="00E02734" w:rsidP="00D041FE">
            <w:pPr>
              <w:tabs>
                <w:tab w:val="clear" w:pos="7100"/>
              </w:tabs>
              <w:spacing w:line="240" w:lineRule="auto"/>
              <w:jc w:val="center"/>
              <w:rPr>
                <w:rFonts w:cs="Arial"/>
                <w:noProof/>
                <w:szCs w:val="18"/>
                <w:lang w:val="en-US" w:eastAsia="ru-RU"/>
              </w:rPr>
            </w:pPr>
            <w:r w:rsidRPr="00E02734">
              <w:rPr>
                <w:rFonts w:cs="Arial"/>
                <w:noProof/>
                <w:szCs w:val="18"/>
                <w:lang w:val="en-US" w:eastAsia="ru-RU"/>
              </w:rPr>
              <w:t>75</w:t>
            </w:r>
          </w:p>
        </w:tc>
        <w:tc>
          <w:tcPr>
            <w:tcW w:w="1595" w:type="dxa"/>
          </w:tcPr>
          <w:p w14:paraId="737C96C8" w14:textId="77777777" w:rsidR="00E02734" w:rsidRPr="00E02734" w:rsidRDefault="00E02734" w:rsidP="00D041FE">
            <w:pPr>
              <w:tabs>
                <w:tab w:val="clear" w:pos="7100"/>
              </w:tabs>
              <w:spacing w:line="240" w:lineRule="auto"/>
              <w:jc w:val="center"/>
              <w:rPr>
                <w:rFonts w:cs="Arial"/>
                <w:noProof/>
                <w:szCs w:val="18"/>
                <w:lang w:val="en-US" w:eastAsia="ru-RU"/>
              </w:rPr>
            </w:pPr>
            <w:r w:rsidRPr="00E02734">
              <w:rPr>
                <w:rFonts w:cs="Arial"/>
                <w:noProof/>
                <w:szCs w:val="18"/>
                <w:lang w:val="en-US" w:eastAsia="ru-RU"/>
              </w:rPr>
              <w:t>1500</w:t>
            </w:r>
          </w:p>
        </w:tc>
      </w:tr>
      <w:tr w:rsidR="00E02734" w:rsidRPr="00E02734" w14:paraId="22579725" w14:textId="77777777" w:rsidTr="00186619">
        <w:trPr>
          <w:trHeight w:val="230"/>
          <w:jc w:val="center"/>
        </w:trPr>
        <w:tc>
          <w:tcPr>
            <w:tcW w:w="447" w:type="dxa"/>
          </w:tcPr>
          <w:p w14:paraId="6A29FEB0" w14:textId="77777777" w:rsidR="00E02734" w:rsidRPr="00E02734" w:rsidRDefault="00E02734" w:rsidP="00D041FE">
            <w:pPr>
              <w:tabs>
                <w:tab w:val="clear" w:pos="7100"/>
              </w:tabs>
              <w:spacing w:line="240" w:lineRule="auto"/>
              <w:jc w:val="center"/>
              <w:rPr>
                <w:rFonts w:cs="Arial"/>
                <w:noProof/>
                <w:szCs w:val="18"/>
                <w:lang w:val="ru-RU" w:eastAsia="ru-RU"/>
              </w:rPr>
            </w:pPr>
            <w:r w:rsidRPr="00E02734">
              <w:rPr>
                <w:rFonts w:cs="Arial"/>
                <w:noProof/>
                <w:szCs w:val="18"/>
                <w:lang w:val="ru-RU" w:eastAsia="ru-RU"/>
              </w:rPr>
              <w:t>2</w:t>
            </w:r>
          </w:p>
        </w:tc>
        <w:tc>
          <w:tcPr>
            <w:tcW w:w="1475" w:type="dxa"/>
          </w:tcPr>
          <w:p w14:paraId="681C8AF0" w14:textId="77777777" w:rsidR="00E02734" w:rsidRPr="00E02734" w:rsidRDefault="00E02734" w:rsidP="00D041FE">
            <w:pPr>
              <w:tabs>
                <w:tab w:val="clear" w:pos="7100"/>
              </w:tabs>
              <w:spacing w:line="240" w:lineRule="auto"/>
              <w:jc w:val="center"/>
              <w:rPr>
                <w:rFonts w:cs="Arial"/>
                <w:noProof/>
                <w:szCs w:val="18"/>
                <w:lang w:val="ru-RU" w:eastAsia="ru-RU"/>
              </w:rPr>
            </w:pPr>
            <w:r w:rsidRPr="00E02734">
              <w:rPr>
                <w:rFonts w:cs="Arial"/>
                <w:noProof/>
                <w:szCs w:val="18"/>
                <w:lang w:val="en-US" w:eastAsia="ru-RU"/>
              </w:rPr>
              <w:t>GrAT</w:t>
            </w:r>
            <w:r w:rsidRPr="00E02734">
              <w:rPr>
                <w:rFonts w:cs="Arial"/>
                <w:noProof/>
                <w:szCs w:val="18"/>
                <w:lang w:val="ru-RU" w:eastAsia="ru-RU"/>
              </w:rPr>
              <w:t xml:space="preserve"> 350/40</w:t>
            </w:r>
          </w:p>
        </w:tc>
        <w:tc>
          <w:tcPr>
            <w:tcW w:w="951" w:type="dxa"/>
          </w:tcPr>
          <w:p w14:paraId="2A0B13B2" w14:textId="77777777" w:rsidR="00E02734" w:rsidRPr="00E02734" w:rsidRDefault="00E02734" w:rsidP="00D041FE">
            <w:pPr>
              <w:tabs>
                <w:tab w:val="clear" w:pos="7100"/>
              </w:tabs>
              <w:spacing w:line="240" w:lineRule="auto"/>
              <w:jc w:val="center"/>
              <w:rPr>
                <w:rFonts w:cs="Arial"/>
                <w:noProof/>
                <w:szCs w:val="18"/>
                <w:lang w:val="ru-RU" w:eastAsia="ru-RU"/>
              </w:rPr>
            </w:pPr>
            <w:r w:rsidRPr="00E02734">
              <w:rPr>
                <w:rFonts w:cs="Arial"/>
                <w:noProof/>
                <w:szCs w:val="18"/>
                <w:lang w:val="ru-RU" w:eastAsia="ru-RU"/>
              </w:rPr>
              <w:t>350</w:t>
            </w:r>
          </w:p>
        </w:tc>
        <w:tc>
          <w:tcPr>
            <w:tcW w:w="1050" w:type="dxa"/>
          </w:tcPr>
          <w:p w14:paraId="05FF6CD5" w14:textId="77777777" w:rsidR="00E02734" w:rsidRPr="00E02734" w:rsidRDefault="00E02734" w:rsidP="00D041FE">
            <w:pPr>
              <w:tabs>
                <w:tab w:val="clear" w:pos="7100"/>
              </w:tabs>
              <w:spacing w:line="240" w:lineRule="auto"/>
              <w:jc w:val="center"/>
              <w:rPr>
                <w:rFonts w:cs="Arial"/>
                <w:noProof/>
                <w:szCs w:val="18"/>
                <w:lang w:val="ru-RU" w:eastAsia="ru-RU"/>
              </w:rPr>
            </w:pPr>
            <w:r w:rsidRPr="00E02734">
              <w:rPr>
                <w:rFonts w:cs="Arial"/>
                <w:noProof/>
                <w:szCs w:val="18"/>
                <w:lang w:val="ru-RU" w:eastAsia="ru-RU"/>
              </w:rPr>
              <w:t>40</w:t>
            </w:r>
          </w:p>
        </w:tc>
        <w:tc>
          <w:tcPr>
            <w:tcW w:w="1052" w:type="dxa"/>
          </w:tcPr>
          <w:p w14:paraId="32FEE0B3" w14:textId="77777777" w:rsidR="00E02734" w:rsidRPr="00E02734" w:rsidRDefault="00E02734" w:rsidP="00D041FE">
            <w:pPr>
              <w:tabs>
                <w:tab w:val="clear" w:pos="7100"/>
              </w:tabs>
              <w:spacing w:line="240" w:lineRule="auto"/>
              <w:jc w:val="center"/>
              <w:rPr>
                <w:rFonts w:cs="Arial"/>
                <w:noProof/>
                <w:szCs w:val="18"/>
                <w:lang w:val="ru-RU" w:eastAsia="ru-RU"/>
              </w:rPr>
            </w:pPr>
            <w:r w:rsidRPr="00E02734">
              <w:rPr>
                <w:rFonts w:cs="Arial"/>
                <w:noProof/>
                <w:szCs w:val="18"/>
                <w:lang w:val="ru-RU" w:eastAsia="ru-RU"/>
              </w:rPr>
              <w:t>64</w:t>
            </w:r>
          </w:p>
        </w:tc>
        <w:tc>
          <w:tcPr>
            <w:tcW w:w="1317" w:type="dxa"/>
          </w:tcPr>
          <w:p w14:paraId="76FF0B24" w14:textId="77777777" w:rsidR="00E02734" w:rsidRPr="00E02734" w:rsidRDefault="00E02734" w:rsidP="00D041FE">
            <w:pPr>
              <w:tabs>
                <w:tab w:val="clear" w:pos="7100"/>
              </w:tabs>
              <w:spacing w:line="240" w:lineRule="auto"/>
              <w:jc w:val="center"/>
              <w:rPr>
                <w:rFonts w:cs="Arial"/>
                <w:noProof/>
                <w:szCs w:val="18"/>
                <w:lang w:val="ru-RU" w:eastAsia="ru-RU"/>
              </w:rPr>
            </w:pPr>
            <w:r w:rsidRPr="00E02734">
              <w:rPr>
                <w:rFonts w:cs="Arial"/>
                <w:noProof/>
                <w:szCs w:val="18"/>
                <w:lang w:val="ru-RU" w:eastAsia="ru-RU"/>
              </w:rPr>
              <w:t>510</w:t>
            </w:r>
          </w:p>
        </w:tc>
        <w:tc>
          <w:tcPr>
            <w:tcW w:w="1046" w:type="dxa"/>
          </w:tcPr>
          <w:p w14:paraId="315B554C" w14:textId="77777777" w:rsidR="00E02734" w:rsidRPr="00E02734" w:rsidRDefault="00E02734" w:rsidP="00D041FE">
            <w:pPr>
              <w:tabs>
                <w:tab w:val="clear" w:pos="7100"/>
              </w:tabs>
              <w:spacing w:line="240" w:lineRule="auto"/>
              <w:jc w:val="center"/>
              <w:rPr>
                <w:rFonts w:cs="Arial"/>
                <w:noProof/>
                <w:szCs w:val="18"/>
                <w:lang w:val="ru-RU" w:eastAsia="ru-RU"/>
              </w:rPr>
            </w:pPr>
            <w:r w:rsidRPr="00E02734">
              <w:rPr>
                <w:rFonts w:cs="Arial"/>
                <w:noProof/>
                <w:szCs w:val="18"/>
                <w:lang w:val="ru-RU" w:eastAsia="ru-RU"/>
              </w:rPr>
              <w:t>132</w:t>
            </w:r>
          </w:p>
        </w:tc>
        <w:tc>
          <w:tcPr>
            <w:tcW w:w="1595" w:type="dxa"/>
          </w:tcPr>
          <w:p w14:paraId="17E409C5" w14:textId="77777777" w:rsidR="00E02734" w:rsidRPr="00E02734" w:rsidRDefault="00E02734" w:rsidP="00D041FE">
            <w:pPr>
              <w:tabs>
                <w:tab w:val="clear" w:pos="7100"/>
              </w:tabs>
              <w:spacing w:line="240" w:lineRule="auto"/>
              <w:jc w:val="center"/>
              <w:rPr>
                <w:rFonts w:cs="Arial"/>
                <w:noProof/>
                <w:szCs w:val="18"/>
                <w:lang w:val="ru-RU" w:eastAsia="ru-RU"/>
              </w:rPr>
            </w:pPr>
            <w:r w:rsidRPr="00E02734">
              <w:rPr>
                <w:rFonts w:cs="Arial"/>
                <w:noProof/>
                <w:szCs w:val="18"/>
                <w:lang w:val="ru-RU" w:eastAsia="ru-RU"/>
              </w:rPr>
              <w:t>1000</w:t>
            </w:r>
          </w:p>
        </w:tc>
      </w:tr>
      <w:tr w:rsidR="00E02734" w:rsidRPr="00E02734" w14:paraId="006D3E38" w14:textId="77777777" w:rsidTr="00186619">
        <w:trPr>
          <w:trHeight w:val="218"/>
          <w:jc w:val="center"/>
        </w:trPr>
        <w:tc>
          <w:tcPr>
            <w:tcW w:w="447" w:type="dxa"/>
          </w:tcPr>
          <w:p w14:paraId="154E3259" w14:textId="77777777" w:rsidR="00E02734" w:rsidRPr="00E02734" w:rsidRDefault="00E02734" w:rsidP="00D041FE">
            <w:pPr>
              <w:tabs>
                <w:tab w:val="clear" w:pos="7100"/>
              </w:tabs>
              <w:spacing w:line="240" w:lineRule="auto"/>
              <w:jc w:val="center"/>
              <w:rPr>
                <w:rFonts w:cs="Arial"/>
                <w:noProof/>
                <w:szCs w:val="18"/>
                <w:lang w:val="ru-RU" w:eastAsia="ru-RU"/>
              </w:rPr>
            </w:pPr>
            <w:r w:rsidRPr="00E02734">
              <w:rPr>
                <w:rFonts w:cs="Arial"/>
                <w:noProof/>
                <w:szCs w:val="18"/>
                <w:lang w:val="ru-RU" w:eastAsia="ru-RU"/>
              </w:rPr>
              <w:t>3</w:t>
            </w:r>
          </w:p>
        </w:tc>
        <w:tc>
          <w:tcPr>
            <w:tcW w:w="1475" w:type="dxa"/>
          </w:tcPr>
          <w:p w14:paraId="73EE33E1" w14:textId="77777777" w:rsidR="00E02734" w:rsidRPr="00E02734" w:rsidRDefault="00E02734" w:rsidP="00D041FE">
            <w:pPr>
              <w:tabs>
                <w:tab w:val="clear" w:pos="7100"/>
              </w:tabs>
              <w:spacing w:line="240" w:lineRule="auto"/>
              <w:jc w:val="center"/>
              <w:rPr>
                <w:rFonts w:cs="Arial"/>
                <w:noProof/>
                <w:szCs w:val="18"/>
                <w:lang w:val="ru-RU" w:eastAsia="ru-RU"/>
              </w:rPr>
            </w:pPr>
            <w:r w:rsidRPr="00E02734">
              <w:rPr>
                <w:rFonts w:cs="Arial"/>
                <w:noProof/>
                <w:szCs w:val="18"/>
                <w:lang w:val="en-US" w:eastAsia="ru-RU"/>
              </w:rPr>
              <w:t>GrAT</w:t>
            </w:r>
            <w:r w:rsidRPr="00E02734">
              <w:rPr>
                <w:rFonts w:cs="Arial"/>
                <w:noProof/>
                <w:szCs w:val="18"/>
                <w:lang w:val="ru-RU" w:eastAsia="ru-RU"/>
              </w:rPr>
              <w:t xml:space="preserve"> 1400/40</w:t>
            </w:r>
          </w:p>
        </w:tc>
        <w:tc>
          <w:tcPr>
            <w:tcW w:w="951" w:type="dxa"/>
          </w:tcPr>
          <w:p w14:paraId="14493DBF" w14:textId="77777777" w:rsidR="00E02734" w:rsidRPr="00E02734" w:rsidRDefault="00E02734" w:rsidP="00D041FE">
            <w:pPr>
              <w:tabs>
                <w:tab w:val="clear" w:pos="7100"/>
              </w:tabs>
              <w:spacing w:line="240" w:lineRule="auto"/>
              <w:jc w:val="center"/>
              <w:rPr>
                <w:rFonts w:cs="Arial"/>
                <w:noProof/>
                <w:szCs w:val="18"/>
                <w:lang w:val="uz-Cyrl-UZ" w:eastAsia="ru-RU"/>
              </w:rPr>
            </w:pPr>
            <w:r w:rsidRPr="00E02734">
              <w:rPr>
                <w:rFonts w:cs="Arial"/>
                <w:noProof/>
                <w:szCs w:val="18"/>
                <w:lang w:val="uz-Cyrl-UZ" w:eastAsia="ru-RU"/>
              </w:rPr>
              <w:t>1400</w:t>
            </w:r>
          </w:p>
        </w:tc>
        <w:tc>
          <w:tcPr>
            <w:tcW w:w="1050" w:type="dxa"/>
          </w:tcPr>
          <w:p w14:paraId="58D2775E" w14:textId="77777777" w:rsidR="00E02734" w:rsidRPr="00E02734" w:rsidRDefault="00E02734" w:rsidP="00D041FE">
            <w:pPr>
              <w:tabs>
                <w:tab w:val="clear" w:pos="7100"/>
              </w:tabs>
              <w:spacing w:line="240" w:lineRule="auto"/>
              <w:jc w:val="center"/>
              <w:rPr>
                <w:rFonts w:cs="Arial"/>
                <w:noProof/>
                <w:szCs w:val="18"/>
                <w:lang w:val="ru-RU" w:eastAsia="ru-RU"/>
              </w:rPr>
            </w:pPr>
            <w:r w:rsidRPr="00E02734">
              <w:rPr>
                <w:rFonts w:cs="Arial"/>
                <w:noProof/>
                <w:szCs w:val="18"/>
                <w:lang w:val="ru-RU" w:eastAsia="ru-RU"/>
              </w:rPr>
              <w:t>40</w:t>
            </w:r>
          </w:p>
        </w:tc>
        <w:tc>
          <w:tcPr>
            <w:tcW w:w="1052" w:type="dxa"/>
          </w:tcPr>
          <w:p w14:paraId="1D3A26B8" w14:textId="77777777" w:rsidR="00E02734" w:rsidRPr="00E02734" w:rsidRDefault="00E02734" w:rsidP="00D041FE">
            <w:pPr>
              <w:tabs>
                <w:tab w:val="clear" w:pos="7100"/>
              </w:tabs>
              <w:spacing w:line="240" w:lineRule="auto"/>
              <w:jc w:val="center"/>
              <w:rPr>
                <w:rFonts w:cs="Arial"/>
                <w:noProof/>
                <w:szCs w:val="18"/>
                <w:lang w:val="uz-Cyrl-UZ" w:eastAsia="ru-RU"/>
              </w:rPr>
            </w:pPr>
            <w:r w:rsidRPr="00E02734">
              <w:rPr>
                <w:rFonts w:cs="Arial"/>
                <w:noProof/>
                <w:szCs w:val="18"/>
                <w:lang w:val="uz-Cyrl-UZ" w:eastAsia="ru-RU"/>
              </w:rPr>
              <w:t>56</w:t>
            </w:r>
          </w:p>
        </w:tc>
        <w:tc>
          <w:tcPr>
            <w:tcW w:w="1317" w:type="dxa"/>
          </w:tcPr>
          <w:p w14:paraId="5AEC24F4" w14:textId="77777777" w:rsidR="00E02734" w:rsidRPr="00E02734" w:rsidRDefault="00E02734" w:rsidP="00D041FE">
            <w:pPr>
              <w:tabs>
                <w:tab w:val="clear" w:pos="7100"/>
              </w:tabs>
              <w:spacing w:line="240" w:lineRule="auto"/>
              <w:jc w:val="center"/>
              <w:rPr>
                <w:rFonts w:cs="Arial"/>
                <w:noProof/>
                <w:szCs w:val="18"/>
                <w:lang w:val="uz-Cyrl-UZ" w:eastAsia="ru-RU"/>
              </w:rPr>
            </w:pPr>
            <w:r w:rsidRPr="00E02734">
              <w:rPr>
                <w:rFonts w:cs="Arial"/>
                <w:noProof/>
                <w:szCs w:val="18"/>
                <w:lang w:val="uz-Cyrl-UZ" w:eastAsia="ru-RU"/>
              </w:rPr>
              <w:t>720</w:t>
            </w:r>
          </w:p>
        </w:tc>
        <w:tc>
          <w:tcPr>
            <w:tcW w:w="1046" w:type="dxa"/>
          </w:tcPr>
          <w:p w14:paraId="305282C0" w14:textId="77777777" w:rsidR="00E02734" w:rsidRPr="00E02734" w:rsidRDefault="00E02734" w:rsidP="00D041FE">
            <w:pPr>
              <w:tabs>
                <w:tab w:val="clear" w:pos="7100"/>
              </w:tabs>
              <w:spacing w:line="240" w:lineRule="auto"/>
              <w:jc w:val="center"/>
              <w:rPr>
                <w:rFonts w:cs="Arial"/>
                <w:noProof/>
                <w:szCs w:val="18"/>
                <w:lang w:val="uz-Cyrl-UZ" w:eastAsia="ru-RU"/>
              </w:rPr>
            </w:pPr>
            <w:r w:rsidRPr="00E02734">
              <w:rPr>
                <w:rFonts w:cs="Arial"/>
                <w:noProof/>
                <w:szCs w:val="18"/>
                <w:lang w:val="uz-Cyrl-UZ" w:eastAsia="ru-RU"/>
              </w:rPr>
              <w:t>500</w:t>
            </w:r>
          </w:p>
        </w:tc>
        <w:tc>
          <w:tcPr>
            <w:tcW w:w="1595" w:type="dxa"/>
          </w:tcPr>
          <w:p w14:paraId="686EDEFB" w14:textId="77777777" w:rsidR="00E02734" w:rsidRPr="00E02734" w:rsidRDefault="00E02734" w:rsidP="00D041FE">
            <w:pPr>
              <w:tabs>
                <w:tab w:val="clear" w:pos="7100"/>
              </w:tabs>
              <w:spacing w:line="240" w:lineRule="auto"/>
              <w:jc w:val="center"/>
              <w:rPr>
                <w:rFonts w:cs="Arial"/>
                <w:noProof/>
                <w:szCs w:val="18"/>
                <w:lang w:val="uz-Cyrl-UZ" w:eastAsia="ru-RU"/>
              </w:rPr>
            </w:pPr>
            <w:r w:rsidRPr="00E02734">
              <w:rPr>
                <w:rFonts w:cs="Arial"/>
                <w:noProof/>
                <w:szCs w:val="18"/>
                <w:lang w:val="uz-Cyrl-UZ" w:eastAsia="ru-RU"/>
              </w:rPr>
              <w:t>750</w:t>
            </w:r>
          </w:p>
        </w:tc>
      </w:tr>
      <w:tr w:rsidR="00E02734" w:rsidRPr="00E02734" w14:paraId="1E397F00" w14:textId="77777777" w:rsidTr="00186619">
        <w:trPr>
          <w:trHeight w:val="218"/>
          <w:jc w:val="center"/>
        </w:trPr>
        <w:tc>
          <w:tcPr>
            <w:tcW w:w="447" w:type="dxa"/>
          </w:tcPr>
          <w:p w14:paraId="79F8A78F" w14:textId="77777777" w:rsidR="00E02734" w:rsidRPr="00E02734" w:rsidRDefault="00E02734" w:rsidP="00D041FE">
            <w:pPr>
              <w:tabs>
                <w:tab w:val="clear" w:pos="7100"/>
              </w:tabs>
              <w:spacing w:line="240" w:lineRule="auto"/>
              <w:jc w:val="center"/>
              <w:rPr>
                <w:rFonts w:cs="Arial"/>
                <w:noProof/>
                <w:szCs w:val="18"/>
                <w:lang w:val="ru-RU" w:eastAsia="ru-RU"/>
              </w:rPr>
            </w:pPr>
            <w:r w:rsidRPr="00E02734">
              <w:rPr>
                <w:rFonts w:cs="Arial"/>
                <w:noProof/>
                <w:szCs w:val="18"/>
                <w:lang w:val="ru-RU" w:eastAsia="ru-RU"/>
              </w:rPr>
              <w:t>4</w:t>
            </w:r>
          </w:p>
        </w:tc>
        <w:tc>
          <w:tcPr>
            <w:tcW w:w="1475" w:type="dxa"/>
          </w:tcPr>
          <w:p w14:paraId="53410226" w14:textId="77777777" w:rsidR="00E02734" w:rsidRPr="00E02734" w:rsidRDefault="00E02734" w:rsidP="00D041FE">
            <w:pPr>
              <w:tabs>
                <w:tab w:val="clear" w:pos="7100"/>
              </w:tabs>
              <w:spacing w:line="240" w:lineRule="auto"/>
              <w:jc w:val="center"/>
              <w:rPr>
                <w:rFonts w:cs="Arial"/>
                <w:noProof/>
                <w:szCs w:val="18"/>
                <w:lang w:val="ru-RU" w:eastAsia="ru-RU"/>
              </w:rPr>
            </w:pPr>
            <w:r w:rsidRPr="00E02734">
              <w:rPr>
                <w:rFonts w:cs="Arial"/>
                <w:noProof/>
                <w:szCs w:val="18"/>
                <w:lang w:val="en-US" w:eastAsia="ru-RU"/>
              </w:rPr>
              <w:t>GrAT</w:t>
            </w:r>
            <w:r w:rsidRPr="00E02734">
              <w:rPr>
                <w:rFonts w:cs="Arial"/>
                <w:noProof/>
                <w:szCs w:val="18"/>
                <w:lang w:val="ru-RU" w:eastAsia="ru-RU"/>
              </w:rPr>
              <w:t xml:space="preserve"> 1600/50</w:t>
            </w:r>
          </w:p>
        </w:tc>
        <w:tc>
          <w:tcPr>
            <w:tcW w:w="951" w:type="dxa"/>
          </w:tcPr>
          <w:p w14:paraId="7FFC5214" w14:textId="77777777" w:rsidR="00E02734" w:rsidRPr="00E02734" w:rsidRDefault="00E02734" w:rsidP="00D041FE">
            <w:pPr>
              <w:tabs>
                <w:tab w:val="clear" w:pos="7100"/>
              </w:tabs>
              <w:spacing w:line="240" w:lineRule="auto"/>
              <w:jc w:val="center"/>
              <w:rPr>
                <w:rFonts w:cs="Arial"/>
                <w:noProof/>
                <w:szCs w:val="18"/>
                <w:lang w:val="uz-Cyrl-UZ" w:eastAsia="ru-RU"/>
              </w:rPr>
            </w:pPr>
            <w:r w:rsidRPr="00E02734">
              <w:rPr>
                <w:rFonts w:cs="Arial"/>
                <w:noProof/>
                <w:szCs w:val="18"/>
                <w:lang w:val="uz-Cyrl-UZ" w:eastAsia="ru-RU"/>
              </w:rPr>
              <w:t>1600</w:t>
            </w:r>
          </w:p>
        </w:tc>
        <w:tc>
          <w:tcPr>
            <w:tcW w:w="1050" w:type="dxa"/>
          </w:tcPr>
          <w:p w14:paraId="0DE5C726" w14:textId="77777777" w:rsidR="00E02734" w:rsidRPr="00E02734" w:rsidRDefault="00E02734" w:rsidP="00D041FE">
            <w:pPr>
              <w:tabs>
                <w:tab w:val="clear" w:pos="7100"/>
              </w:tabs>
              <w:spacing w:line="240" w:lineRule="auto"/>
              <w:jc w:val="center"/>
              <w:rPr>
                <w:rFonts w:cs="Arial"/>
                <w:noProof/>
                <w:szCs w:val="18"/>
                <w:lang w:val="uz-Cyrl-UZ" w:eastAsia="ru-RU"/>
              </w:rPr>
            </w:pPr>
            <w:r w:rsidRPr="00E02734">
              <w:rPr>
                <w:rFonts w:cs="Arial"/>
                <w:noProof/>
                <w:szCs w:val="18"/>
                <w:lang w:val="uz-Cyrl-UZ" w:eastAsia="ru-RU"/>
              </w:rPr>
              <w:t>50</w:t>
            </w:r>
          </w:p>
        </w:tc>
        <w:tc>
          <w:tcPr>
            <w:tcW w:w="1052" w:type="dxa"/>
          </w:tcPr>
          <w:p w14:paraId="4315B646" w14:textId="77777777" w:rsidR="00E02734" w:rsidRPr="00E02734" w:rsidRDefault="00E02734" w:rsidP="00D041FE">
            <w:pPr>
              <w:tabs>
                <w:tab w:val="clear" w:pos="7100"/>
              </w:tabs>
              <w:spacing w:line="240" w:lineRule="auto"/>
              <w:jc w:val="center"/>
              <w:rPr>
                <w:rFonts w:cs="Arial"/>
                <w:noProof/>
                <w:szCs w:val="18"/>
                <w:lang w:val="uz-Cyrl-UZ" w:eastAsia="ru-RU"/>
              </w:rPr>
            </w:pPr>
            <w:r w:rsidRPr="00E02734">
              <w:rPr>
                <w:rFonts w:cs="Arial"/>
                <w:noProof/>
                <w:szCs w:val="18"/>
                <w:lang w:val="uz-Cyrl-UZ" w:eastAsia="ru-RU"/>
              </w:rPr>
              <w:t>69</w:t>
            </w:r>
          </w:p>
        </w:tc>
        <w:tc>
          <w:tcPr>
            <w:tcW w:w="1317" w:type="dxa"/>
          </w:tcPr>
          <w:p w14:paraId="32FE817C" w14:textId="77777777" w:rsidR="00E02734" w:rsidRPr="00E02734" w:rsidRDefault="00E02734" w:rsidP="00D041FE">
            <w:pPr>
              <w:tabs>
                <w:tab w:val="clear" w:pos="7100"/>
              </w:tabs>
              <w:spacing w:line="240" w:lineRule="auto"/>
              <w:jc w:val="center"/>
              <w:rPr>
                <w:rFonts w:cs="Arial"/>
                <w:noProof/>
                <w:szCs w:val="18"/>
                <w:lang w:val="uz-Cyrl-UZ" w:eastAsia="ru-RU"/>
              </w:rPr>
            </w:pPr>
            <w:r w:rsidRPr="00E02734">
              <w:rPr>
                <w:rFonts w:cs="Arial"/>
                <w:noProof/>
                <w:szCs w:val="18"/>
                <w:lang w:val="uz-Cyrl-UZ" w:eastAsia="ru-RU"/>
              </w:rPr>
              <w:t>790</w:t>
            </w:r>
          </w:p>
        </w:tc>
        <w:tc>
          <w:tcPr>
            <w:tcW w:w="1046" w:type="dxa"/>
          </w:tcPr>
          <w:p w14:paraId="68BA34A8" w14:textId="77777777" w:rsidR="00E02734" w:rsidRPr="00E02734" w:rsidRDefault="00E02734" w:rsidP="00D041FE">
            <w:pPr>
              <w:tabs>
                <w:tab w:val="clear" w:pos="7100"/>
              </w:tabs>
              <w:spacing w:line="240" w:lineRule="auto"/>
              <w:jc w:val="center"/>
              <w:rPr>
                <w:rFonts w:cs="Arial"/>
                <w:noProof/>
                <w:szCs w:val="18"/>
                <w:lang w:val="uz-Cyrl-UZ" w:eastAsia="ru-RU"/>
              </w:rPr>
            </w:pPr>
            <w:r w:rsidRPr="00E02734">
              <w:rPr>
                <w:rFonts w:cs="Arial"/>
                <w:noProof/>
                <w:szCs w:val="18"/>
                <w:lang w:val="uz-Cyrl-UZ" w:eastAsia="ru-RU"/>
              </w:rPr>
              <w:t>315</w:t>
            </w:r>
          </w:p>
        </w:tc>
        <w:tc>
          <w:tcPr>
            <w:tcW w:w="1595" w:type="dxa"/>
          </w:tcPr>
          <w:p w14:paraId="4A82FD3A" w14:textId="77777777" w:rsidR="00E02734" w:rsidRPr="00E02734" w:rsidRDefault="00E02734" w:rsidP="00D041FE">
            <w:pPr>
              <w:tabs>
                <w:tab w:val="clear" w:pos="7100"/>
              </w:tabs>
              <w:spacing w:line="240" w:lineRule="auto"/>
              <w:jc w:val="center"/>
              <w:rPr>
                <w:rFonts w:cs="Arial"/>
                <w:noProof/>
                <w:szCs w:val="18"/>
                <w:lang w:val="uz-Cyrl-UZ" w:eastAsia="ru-RU"/>
              </w:rPr>
            </w:pPr>
            <w:r w:rsidRPr="00E02734">
              <w:rPr>
                <w:rFonts w:cs="Arial"/>
                <w:noProof/>
                <w:szCs w:val="18"/>
                <w:lang w:val="uz-Cyrl-UZ" w:eastAsia="ru-RU"/>
              </w:rPr>
              <w:t>725</w:t>
            </w:r>
          </w:p>
        </w:tc>
      </w:tr>
    </w:tbl>
    <w:p w14:paraId="5415B03A" w14:textId="05F49A95" w:rsidR="00186619" w:rsidRPr="00360183" w:rsidRDefault="00390C85" w:rsidP="00360183">
      <w:pPr>
        <w:pStyle w:val="aff1"/>
        <w:spacing w:before="120"/>
        <w:rPr>
          <w:rFonts w:cs="Arial"/>
          <w:sz w:val="18"/>
          <w:szCs w:val="18"/>
          <w:lang w:val="uz-Cyrl-UZ"/>
        </w:rPr>
      </w:pPr>
      <w:r w:rsidRPr="00390C85">
        <w:rPr>
          <w:rFonts w:cs="Arial"/>
          <w:sz w:val="18"/>
          <w:szCs w:val="18"/>
          <w:lang w:val="uz-Cyrl-UZ"/>
        </w:rPr>
        <w:t>GrAT 170/40, GrAT 1400/40 and GrAT 1600/50 pumps are used for transporting hydro-mixtures in the investigated plant.</w:t>
      </w:r>
      <w:r w:rsidR="00360183">
        <w:rPr>
          <w:rFonts w:cs="Arial"/>
          <w:sz w:val="18"/>
          <w:szCs w:val="18"/>
          <w:lang w:val="uz-Cyrl-UZ"/>
        </w:rPr>
        <w:t xml:space="preserve"> </w:t>
      </w:r>
      <w:r w:rsidR="00186619" w:rsidRPr="00360183">
        <w:rPr>
          <w:rFonts w:cs="Arial"/>
          <w:sz w:val="18"/>
          <w:szCs w:val="18"/>
          <w:lang w:val="uz-Cyrl-UZ"/>
        </w:rPr>
        <w:t xml:space="preserve">During the study, parameters influencing pump erosion were investigated, with particular </w:t>
      </w:r>
      <w:r w:rsidR="00186619" w:rsidRPr="00360183">
        <w:rPr>
          <w:rFonts w:cs="Arial"/>
          <w:sz w:val="18"/>
          <w:szCs w:val="18"/>
          <w:lang w:val="uz-Cyrl-UZ"/>
        </w:rPr>
        <w:lastRenderedPageBreak/>
        <w:t>emphasis on the particle size distribution of the hydro-mixture. Granulometric composition was determined in accordance with GOST 14180-80, GOST 10141-91, and GOST R ISO 5223-99 standards.</w:t>
      </w:r>
    </w:p>
    <w:p w14:paraId="65497FAD" w14:textId="45460F70" w:rsidR="00E46825" w:rsidRDefault="00607FFA" w:rsidP="00184D4E">
      <w:pPr>
        <w:pStyle w:val="CETBodytext"/>
      </w:pPr>
      <w:r w:rsidRPr="00607FFA">
        <w:t xml:space="preserve">Experimental procedures were carried out using a ball mill and a sieve analysis system. </w:t>
      </w:r>
      <w:r w:rsidR="009C4EDD" w:rsidRPr="009C4EDD">
        <w:t>Sieve analysis showed that 96.992% of the solid particles were smaller than 0.063 mm, confirming the predominance of a fine dispersed fraction in the investigated hydro-mixture.</w:t>
      </w:r>
      <w:r w:rsidR="00697DB2">
        <w:rPr>
          <w:lang w:val="uz-Cyrl-UZ"/>
        </w:rPr>
        <w:t xml:space="preserve"> </w:t>
      </w:r>
      <w:r w:rsidR="00C01027" w:rsidRPr="00085F70">
        <w:t>The results indicate that approximately 97% of the tailings consist of particles smaller than 0.063 mm. Considering that more than 92% of solid particles in the investigated system are below 0.071 mm, the reliability of the exper</w:t>
      </w:r>
      <w:r w:rsidR="00FA2FE6">
        <w:t xml:space="preserve">imental approach was confirmed. </w:t>
      </w:r>
      <w:r w:rsidR="008B695E">
        <w:t>The chemical composition of the solid phase was determined using a NEX CG analyser (Rigaku Technologies, USA) by the fundamental parameter method (Scatter FP). SiO</w:t>
      </w:r>
      <w:r w:rsidR="008B695E">
        <w:rPr>
          <w:rFonts w:ascii="Cambria Math" w:hAnsi="Cambria Math" w:cs="Cambria Math"/>
        </w:rPr>
        <w:t>₂</w:t>
      </w:r>
      <w:r w:rsidR="008B695E">
        <w:t xml:space="preserve"> was the dominant component (33.9 mass%), followed by Al</w:t>
      </w:r>
      <w:r w:rsidR="008B695E">
        <w:rPr>
          <w:rFonts w:ascii="Cambria Math" w:hAnsi="Cambria Math" w:cs="Cambria Math"/>
        </w:rPr>
        <w:t>₂</w:t>
      </w:r>
      <w:r w:rsidR="008B695E">
        <w:t>O</w:t>
      </w:r>
      <w:r w:rsidR="008B695E">
        <w:rPr>
          <w:rFonts w:ascii="Cambria Math" w:hAnsi="Cambria Math" w:cs="Cambria Math"/>
        </w:rPr>
        <w:t>₃</w:t>
      </w:r>
      <w:r w:rsidR="008B695E">
        <w:t xml:space="preserve"> (7.71 mass%), K</w:t>
      </w:r>
      <w:r w:rsidR="008B695E">
        <w:rPr>
          <w:rFonts w:ascii="Cambria Math" w:hAnsi="Cambria Math" w:cs="Cambria Math"/>
        </w:rPr>
        <w:t>₂</w:t>
      </w:r>
      <w:r w:rsidR="008B695E">
        <w:t>O (2.28 mass%), CaO (2.09 mass%), SO</w:t>
      </w:r>
      <w:r w:rsidR="008B695E">
        <w:rPr>
          <w:rFonts w:ascii="Cambria Math" w:hAnsi="Cambria Math" w:cs="Cambria Math"/>
        </w:rPr>
        <w:t>₃</w:t>
      </w:r>
      <w:r w:rsidR="008B695E">
        <w:t xml:space="preserve"> (1.81 mass%), MgO (1.20 mass%), and ZnO (1.49 mass%). The predominance of SiO</w:t>
      </w:r>
      <w:r w:rsidR="008B695E">
        <w:rPr>
          <w:rFonts w:ascii="Cambria Math" w:hAnsi="Cambria Math" w:cs="Cambria Math"/>
        </w:rPr>
        <w:t>₂</w:t>
      </w:r>
      <w:r w:rsidR="008B695E">
        <w:t xml:space="preserve">, together with the fine particle-size distribution, confirms the abrasive character of the transported solids and explains the intensive erosive wear observed on the internal pump surfaces. </w:t>
      </w:r>
      <w:r w:rsidR="00C01027" w:rsidRPr="00085F70">
        <w:t>Experimental observations of pump operation showed that, for uncoated metal surfaces, intensive erosion occurs at the volute inlet (mass loss: 0.85–1.1 mg/h), while micro-pitting and crack formation are observed at the impeller outlet. Local perforation was detected after 120–150 hours of operation, accompanied by a reduction in efficiency by 8–12%. In addition, surface micro-defects act as cavitation nuclei, accelerating pitting processes. A cement-based coating, commonly used in practice, was also evaluated.</w:t>
      </w:r>
      <w:r w:rsidR="00184D4E">
        <w:rPr>
          <w:lang w:val="uz-Cyrl-UZ"/>
        </w:rPr>
        <w:t xml:space="preserve"> </w:t>
      </w:r>
      <w:r w:rsidR="00E46825" w:rsidRPr="00E46825">
        <w:t>The results indicate that erosion was reduced by 1.8–2.2%, with a corresponding mass loss of 0.7–0.8 mg/h, and the service life increased by 5–9%. However, several drawbacks were identified, including increased surface roughness, higher hydrodynamic resistance</w:t>
      </w:r>
      <w:r w:rsidR="00E46825">
        <w:t xml:space="preserve">, and earlier cavitation onset. </w:t>
      </w:r>
      <w:r w:rsidR="00E46825" w:rsidRPr="00E46825">
        <w:t>Its physicochemical and microstructural properties were subsequently characterized</w:t>
      </w:r>
      <w:r w:rsidR="00ED0AFC">
        <w:t xml:space="preserve"> (</w:t>
      </w:r>
      <w:r w:rsidR="00ED0AFC" w:rsidRPr="00ED0AFC">
        <w:t>Capricho,</w:t>
      </w:r>
      <w:r w:rsidR="00ED0AFC">
        <w:t xml:space="preserve"> et al 2020).</w:t>
      </w:r>
    </w:p>
    <w:p w14:paraId="39C1BE06" w14:textId="189F0A0A" w:rsidR="007C747E" w:rsidRDefault="007C747E" w:rsidP="007C747E">
      <w:pPr>
        <w:pStyle w:val="aff1"/>
        <w:rPr>
          <w:rFonts w:cs="Arial"/>
          <w:sz w:val="18"/>
          <w:szCs w:val="18"/>
        </w:rPr>
      </w:pPr>
      <w:r w:rsidRPr="007C747E">
        <w:rPr>
          <w:rFonts w:cs="Arial"/>
          <w:b/>
          <w:sz w:val="18"/>
          <w:szCs w:val="18"/>
        </w:rPr>
        <w:t>3.1.</w:t>
      </w:r>
      <w:r w:rsidRPr="007C747E">
        <w:rPr>
          <w:rFonts w:cs="Arial"/>
          <w:sz w:val="18"/>
          <w:szCs w:val="18"/>
        </w:rPr>
        <w:t xml:space="preserve"> </w:t>
      </w:r>
      <w:r w:rsidRPr="007C747E">
        <w:rPr>
          <w:rFonts w:cs="Arial"/>
          <w:b/>
          <w:sz w:val="18"/>
          <w:szCs w:val="18"/>
        </w:rPr>
        <w:t>Physicochemical and microstructural characterization of the material.</w:t>
      </w:r>
      <w:r>
        <w:rPr>
          <w:rFonts w:cs="Arial"/>
          <w:sz w:val="18"/>
          <w:szCs w:val="18"/>
        </w:rPr>
        <w:t xml:space="preserve"> </w:t>
      </w:r>
      <w:r w:rsidRPr="007C747E">
        <w:rPr>
          <w:rFonts w:cs="Arial"/>
          <w:sz w:val="18"/>
          <w:szCs w:val="18"/>
        </w:rPr>
        <w:t>The structural, chemical, and optical properties of the epoxy composite coating prepared from locally sourced materials were investigated using UV–Vis spectroscopy, FTIR, and SEM. This integrated approach enabled assessment of coating composition, degree of curing, and microstructural uniformity.</w:t>
      </w:r>
    </w:p>
    <w:p w14:paraId="32C06C1D" w14:textId="280BEC19" w:rsidR="00F0016E" w:rsidRPr="0049087F" w:rsidRDefault="007C747E" w:rsidP="007C747E">
      <w:pPr>
        <w:rPr>
          <w:rFonts w:cs="Arial"/>
          <w:szCs w:val="18"/>
        </w:rPr>
      </w:pPr>
      <w:r w:rsidRPr="007C747E">
        <w:rPr>
          <w:rFonts w:cs="Arial"/>
          <w:b/>
          <w:szCs w:val="18"/>
        </w:rPr>
        <w:t>UV–Vis spectroscopic analysis.</w:t>
      </w:r>
      <w:r>
        <w:rPr>
          <w:rFonts w:cs="Arial"/>
          <w:b/>
          <w:szCs w:val="18"/>
        </w:rPr>
        <w:t xml:space="preserve"> </w:t>
      </w:r>
      <w:r w:rsidR="003D648F">
        <w:t>UV–Vis analysis showed characteristic absorption in the 200–350 nm region, indicating structural stability of the epoxy composite (Figure 2a). FTIR bands at ~3400, ~2920, ~1600 and ~1100 cm</w:t>
      </w:r>
      <w:r w:rsidR="003D648F">
        <w:rPr>
          <w:rFonts w:ascii="Cambria Math" w:hAnsi="Cambria Math" w:cs="Cambria Math"/>
        </w:rPr>
        <w:t>⁻</w:t>
      </w:r>
      <w:r w:rsidR="003D648F">
        <w:rPr>
          <w:rFonts w:cs="Arial"/>
        </w:rPr>
        <w:t>¹</w:t>
      </w:r>
      <w:r w:rsidR="003D648F">
        <w:t xml:space="preserve"> correspond to </w:t>
      </w:r>
      <w:r w:rsidR="003D648F">
        <w:rPr>
          <w:rFonts w:cs="Arial"/>
        </w:rPr>
        <w:t>–</w:t>
      </w:r>
      <w:r w:rsidR="003D648F">
        <w:t>OH, C</w:t>
      </w:r>
      <w:r w:rsidR="003D648F">
        <w:rPr>
          <w:rFonts w:cs="Arial"/>
        </w:rPr>
        <w:t>–</w:t>
      </w:r>
      <w:r w:rsidR="003D648F">
        <w:t>H, aromatic C=C and C</w:t>
      </w:r>
      <w:r w:rsidR="003D648F">
        <w:rPr>
          <w:rFonts w:cs="Arial"/>
        </w:rPr>
        <w:t>–</w:t>
      </w:r>
      <w:r w:rsidR="003D648F">
        <w:t>O</w:t>
      </w:r>
      <w:r w:rsidR="003D648F">
        <w:rPr>
          <w:rFonts w:cs="Arial"/>
        </w:rPr>
        <w:t>–</w:t>
      </w:r>
      <w:r w:rsidR="003D648F">
        <w:t>C groups, respectively. The decrease of the ~915 cm</w:t>
      </w:r>
      <w:r w:rsidR="003D648F">
        <w:rPr>
          <w:rFonts w:ascii="Cambria Math" w:hAnsi="Cambria Math" w:cs="Cambria Math"/>
        </w:rPr>
        <w:t>⁻</w:t>
      </w:r>
      <w:r w:rsidR="003D648F">
        <w:rPr>
          <w:rFonts w:cs="Arial"/>
        </w:rPr>
        <w:t>¹</w:t>
      </w:r>
      <w:r w:rsidR="003D648F">
        <w:t xml:space="preserve"> epoxy band confirms ring opening and formation of a cross-linked polymer network (Figure 2b), contributing to improved me</w:t>
      </w:r>
      <w:r w:rsidR="003D648F">
        <w:t>chanical and erosion resistance</w:t>
      </w:r>
      <w:r w:rsidR="00F0016E" w:rsidRPr="00CA12B1">
        <w:rPr>
          <w:rFonts w:cs="Arial"/>
          <w:szCs w:val="18"/>
          <w:lang w:val="en-US"/>
        </w:rPr>
        <w:t>.</w:t>
      </w:r>
    </w:p>
    <w:tbl>
      <w:tblPr>
        <w:tblStyle w:val="aff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06"/>
        <w:gridCol w:w="4671"/>
      </w:tblGrid>
      <w:tr w:rsidR="00D219F2" w14:paraId="7C457141" w14:textId="77777777" w:rsidTr="002257A4">
        <w:tc>
          <w:tcPr>
            <w:tcW w:w="4106" w:type="dxa"/>
          </w:tcPr>
          <w:p w14:paraId="373D77FA" w14:textId="75738E69" w:rsidR="00D219F2" w:rsidRDefault="00D219F2" w:rsidP="007C747E">
            <w:pPr>
              <w:rPr>
                <w:rFonts w:cs="Arial"/>
                <w:b/>
                <w:szCs w:val="18"/>
              </w:rPr>
            </w:pPr>
            <w:r>
              <w:rPr>
                <w:noProof/>
                <w:lang w:val="ru-RU" w:eastAsia="ru-RU"/>
              </w:rPr>
              <w:drawing>
                <wp:inline distT="0" distB="0" distL="0" distR="0" wp14:anchorId="6D2B4562" wp14:editId="4D65BC14">
                  <wp:extent cx="2503805" cy="15240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594261" cy="1579058"/>
                          </a:xfrm>
                          <a:prstGeom prst="rect">
                            <a:avLst/>
                          </a:prstGeom>
                        </pic:spPr>
                      </pic:pic>
                    </a:graphicData>
                  </a:graphic>
                </wp:inline>
              </w:drawing>
            </w:r>
          </w:p>
        </w:tc>
        <w:tc>
          <w:tcPr>
            <w:tcW w:w="4671" w:type="dxa"/>
          </w:tcPr>
          <w:p w14:paraId="4C308404" w14:textId="57025D14" w:rsidR="00D219F2" w:rsidRDefault="00D219F2" w:rsidP="007C747E">
            <w:pPr>
              <w:ind w:left="-77"/>
              <w:rPr>
                <w:rFonts w:cs="Arial"/>
                <w:b/>
                <w:szCs w:val="18"/>
              </w:rPr>
            </w:pPr>
            <w:r>
              <w:rPr>
                <w:rFonts w:cs="Arial"/>
                <w:noProof/>
                <w:szCs w:val="18"/>
                <w:lang w:val="ru-RU" w:eastAsia="ru-RU"/>
              </w:rPr>
              <w:drawing>
                <wp:inline distT="0" distB="0" distL="0" distR="0" wp14:anchorId="10B9ADA6" wp14:editId="31F4FA87">
                  <wp:extent cx="2923674" cy="15240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rotWithShape="1">
                          <a:blip r:embed="rId11">
                            <a:extLst>
                              <a:ext uri="{28A0092B-C50C-407E-A947-70E740481C1C}">
                                <a14:useLocalDpi xmlns:a14="http://schemas.microsoft.com/office/drawing/2010/main" val="0"/>
                              </a:ext>
                            </a:extLst>
                          </a:blip>
                          <a:srcRect l="1868"/>
                          <a:stretch/>
                        </pic:blipFill>
                        <pic:spPr bwMode="auto">
                          <a:xfrm>
                            <a:off x="0" y="0"/>
                            <a:ext cx="3020560" cy="1574503"/>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6E2D3AED" w14:textId="30910E42" w:rsidR="00916DD8" w:rsidRDefault="009D7EF0" w:rsidP="00F0016E">
      <w:pPr>
        <w:pStyle w:val="aff1"/>
        <w:spacing w:after="120"/>
        <w:jc w:val="center"/>
        <w:rPr>
          <w:rFonts w:cs="Arial"/>
          <w:b/>
          <w:sz w:val="18"/>
          <w:szCs w:val="18"/>
          <w:lang w:val="en-US"/>
        </w:rPr>
      </w:pPr>
      <w:r>
        <w:rPr>
          <w:rFonts w:cs="Arial"/>
          <w:b/>
          <w:sz w:val="18"/>
          <w:szCs w:val="18"/>
          <w:lang w:val="en-US"/>
        </w:rPr>
        <w:t xml:space="preserve">Figure </w:t>
      </w:r>
      <w:r w:rsidR="0049087F">
        <w:rPr>
          <w:rFonts w:cs="Arial"/>
          <w:b/>
          <w:sz w:val="18"/>
          <w:szCs w:val="18"/>
          <w:lang w:val="en-US"/>
        </w:rPr>
        <w:t>2</w:t>
      </w:r>
      <w:r>
        <w:rPr>
          <w:rFonts w:cs="Arial"/>
          <w:b/>
          <w:sz w:val="18"/>
          <w:szCs w:val="18"/>
          <w:lang w:val="en-US"/>
        </w:rPr>
        <w:t xml:space="preserve">: </w:t>
      </w:r>
      <w:r w:rsidR="00F0016E" w:rsidRPr="00F0016E">
        <w:rPr>
          <w:rFonts w:cs="Arial"/>
          <w:b/>
          <w:sz w:val="18"/>
          <w:szCs w:val="18"/>
          <w:lang w:val="en-US"/>
        </w:rPr>
        <w:t>Physicochemical characterization of the epoxy composite coating: (a) UV–Vis absorbance spectrum; (b) FTIR spectrum.</w:t>
      </w:r>
    </w:p>
    <w:p w14:paraId="1E53208C" w14:textId="0299BB9E" w:rsidR="00554A91" w:rsidRPr="00085F70" w:rsidRDefault="00554A91" w:rsidP="00554A91">
      <w:pPr>
        <w:rPr>
          <w:rStyle w:val="CETBodytextCarattere"/>
        </w:rPr>
      </w:pPr>
      <w:r w:rsidRPr="00554A91">
        <w:rPr>
          <w:rFonts w:cs="Arial"/>
          <w:b/>
        </w:rPr>
        <w:t xml:space="preserve">3.1.3. </w:t>
      </w:r>
      <w:r w:rsidRPr="00085F70">
        <w:rPr>
          <w:rStyle w:val="CETBodytextCarattere"/>
        </w:rPr>
        <w:t xml:space="preserve">SEM microstructural analysis. SEM images reveal a uniform distribution of filler particles within the epoxy matrix and the formation of a strong interfacial bonding. This stable microstructure reduces localized stress concentrations during particle impact, thereby decreasing erosion rates. The SEM observations are consistent with the low-erosion regions identified by CFD analysis (Figure </w:t>
      </w:r>
      <w:r w:rsidR="00697DB2">
        <w:rPr>
          <w:rStyle w:val="CETBodytextCarattere"/>
          <w:lang w:val="uz-Cyrl-UZ"/>
        </w:rPr>
        <w:t>3</w:t>
      </w:r>
      <w:r w:rsidRPr="00085F70">
        <w:rPr>
          <w:rStyle w:val="CETBodytextCarattere"/>
        </w:rPr>
        <w:t>).</w:t>
      </w:r>
    </w:p>
    <w:p w14:paraId="7840084B" w14:textId="359DAD66" w:rsidR="00CD5A55" w:rsidRDefault="00CD5A55" w:rsidP="00CD5A55">
      <w:pPr>
        <w:pStyle w:val="aff1"/>
        <w:jc w:val="center"/>
        <w:rPr>
          <w:rFonts w:cs="Arial"/>
          <w:sz w:val="18"/>
          <w:szCs w:val="18"/>
          <w:lang w:val="en-US"/>
        </w:rPr>
      </w:pPr>
      <w:r>
        <w:rPr>
          <w:noProof/>
          <w:lang w:val="ru-RU" w:eastAsia="ru-RU"/>
        </w:rPr>
        <w:drawing>
          <wp:inline distT="0" distB="0" distL="0" distR="0" wp14:anchorId="7D11F1C6" wp14:editId="5874EF98">
            <wp:extent cx="3331845" cy="1485900"/>
            <wp:effectExtent l="0" t="0" r="190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367003" cy="1501579"/>
                    </a:xfrm>
                    <a:prstGeom prst="rect">
                      <a:avLst/>
                    </a:prstGeom>
                  </pic:spPr>
                </pic:pic>
              </a:graphicData>
            </a:graphic>
          </wp:inline>
        </w:drawing>
      </w:r>
    </w:p>
    <w:p w14:paraId="6AC85133" w14:textId="6D148E4A" w:rsidR="00DF083F" w:rsidRDefault="00DF083F" w:rsidP="00DF083F">
      <w:pPr>
        <w:pStyle w:val="aff1"/>
        <w:jc w:val="center"/>
        <w:rPr>
          <w:rFonts w:cs="Arial"/>
          <w:b/>
          <w:sz w:val="18"/>
          <w:szCs w:val="18"/>
          <w:lang w:val="en-US"/>
        </w:rPr>
      </w:pPr>
      <w:r w:rsidRPr="00DF083F">
        <w:rPr>
          <w:rFonts w:cs="Arial"/>
          <w:b/>
          <w:sz w:val="18"/>
          <w:szCs w:val="18"/>
          <w:lang w:val="en-US"/>
        </w:rPr>
        <w:t xml:space="preserve">Figure </w:t>
      </w:r>
      <w:r w:rsidR="00697DB2">
        <w:rPr>
          <w:rFonts w:cs="Arial"/>
          <w:b/>
          <w:sz w:val="18"/>
          <w:szCs w:val="18"/>
          <w:lang w:val="uz-Cyrl-UZ"/>
        </w:rPr>
        <w:t>3</w:t>
      </w:r>
      <w:r w:rsidRPr="00DF083F">
        <w:rPr>
          <w:rFonts w:cs="Arial"/>
          <w:b/>
          <w:sz w:val="18"/>
          <w:szCs w:val="18"/>
          <w:lang w:val="en-US"/>
        </w:rPr>
        <w:t>: SEM micrographs of the epoxy composite coating at varying magnifications</w:t>
      </w:r>
    </w:p>
    <w:tbl>
      <w:tblPr>
        <w:tblStyle w:val="aff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6"/>
        <w:gridCol w:w="4091"/>
      </w:tblGrid>
      <w:tr w:rsidR="007058E5" w14:paraId="013C7483" w14:textId="77777777" w:rsidTr="00127B39">
        <w:tc>
          <w:tcPr>
            <w:tcW w:w="4626" w:type="dxa"/>
          </w:tcPr>
          <w:p w14:paraId="3DE03C92" w14:textId="64FBD455" w:rsidR="007058E5" w:rsidRDefault="007058E5" w:rsidP="00085F70">
            <w:pPr>
              <w:pStyle w:val="CETBodytext"/>
            </w:pPr>
            <w:bookmarkStart w:id="14" w:name="OLE_LINK52"/>
            <w:r w:rsidRPr="007058E5">
              <w:rPr>
                <w:noProof/>
                <w:lang w:val="ru-RU" w:eastAsia="ru-RU"/>
              </w:rPr>
              <w:lastRenderedPageBreak/>
              <w:drawing>
                <wp:inline distT="0" distB="0" distL="0" distR="0" wp14:anchorId="2C0DB432" wp14:editId="24C6AA8C">
                  <wp:extent cx="2796540" cy="1752600"/>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796540" cy="1752600"/>
                          </a:xfrm>
                          <a:prstGeom prst="rect">
                            <a:avLst/>
                          </a:prstGeom>
                        </pic:spPr>
                      </pic:pic>
                    </a:graphicData>
                  </a:graphic>
                </wp:inline>
              </w:drawing>
            </w:r>
          </w:p>
        </w:tc>
        <w:tc>
          <w:tcPr>
            <w:tcW w:w="4091" w:type="dxa"/>
          </w:tcPr>
          <w:p w14:paraId="5E807605" w14:textId="4F98F688" w:rsidR="007058E5" w:rsidRDefault="007058E5" w:rsidP="00085F70">
            <w:pPr>
              <w:pStyle w:val="CETBodytext"/>
            </w:pPr>
            <w:r w:rsidRPr="00BC4B0B">
              <w:rPr>
                <w:rFonts w:cs="Arial"/>
                <w:b/>
                <w:noProof/>
                <w:szCs w:val="18"/>
                <w:lang w:val="ru-RU" w:eastAsia="ru-RU"/>
              </w:rPr>
              <w:drawing>
                <wp:inline distT="0" distB="0" distL="0" distR="0" wp14:anchorId="3A36A8A5" wp14:editId="290907D5">
                  <wp:extent cx="2460877" cy="17526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474452" cy="1762268"/>
                          </a:xfrm>
                          <a:prstGeom prst="rect">
                            <a:avLst/>
                          </a:prstGeom>
                        </pic:spPr>
                      </pic:pic>
                    </a:graphicData>
                  </a:graphic>
                </wp:inline>
              </w:drawing>
            </w:r>
          </w:p>
        </w:tc>
      </w:tr>
    </w:tbl>
    <w:bookmarkEnd w:id="14"/>
    <w:p w14:paraId="2BDAB1FE" w14:textId="5C5F7BA4" w:rsidR="002702F7" w:rsidRDefault="002702F7" w:rsidP="002702F7">
      <w:pPr>
        <w:pStyle w:val="aff1"/>
        <w:spacing w:after="120"/>
        <w:jc w:val="center"/>
        <w:rPr>
          <w:rFonts w:cs="Arial"/>
          <w:b/>
          <w:sz w:val="18"/>
          <w:szCs w:val="18"/>
          <w:lang w:val="en-US"/>
        </w:rPr>
      </w:pPr>
      <w:r w:rsidRPr="002702F7">
        <w:rPr>
          <w:rFonts w:cs="Arial"/>
          <w:b/>
          <w:sz w:val="18"/>
          <w:szCs w:val="18"/>
          <w:lang w:val="en-US"/>
        </w:rPr>
        <w:t xml:space="preserve">Figure </w:t>
      </w:r>
      <w:r w:rsidR="00954028">
        <w:rPr>
          <w:rFonts w:cs="Arial"/>
          <w:b/>
          <w:sz w:val="18"/>
          <w:szCs w:val="18"/>
          <w:lang w:val="uz-Cyrl-UZ"/>
        </w:rPr>
        <w:t>4</w:t>
      </w:r>
      <w:r w:rsidRPr="002702F7">
        <w:rPr>
          <w:rFonts w:cs="Arial"/>
          <w:b/>
          <w:sz w:val="18"/>
          <w:szCs w:val="18"/>
          <w:lang w:val="en-US"/>
        </w:rPr>
        <w:t xml:space="preserve">: </w:t>
      </w:r>
      <w:r w:rsidR="00D652C4" w:rsidRPr="00D652C4">
        <w:rPr>
          <w:rFonts w:cs="Arial"/>
          <w:b/>
          <w:sz w:val="18"/>
          <w:szCs w:val="18"/>
          <w:lang w:val="en-US"/>
        </w:rPr>
        <w:t xml:space="preserve">Epoxy composite preparation and application: (a) mixed high-viscosity composite; (b) epoxy-coated internal </w:t>
      </w:r>
      <w:r w:rsidR="00D652C4">
        <w:rPr>
          <w:rFonts w:cs="Arial"/>
          <w:b/>
          <w:sz w:val="18"/>
          <w:szCs w:val="18"/>
          <w:lang w:val="en-US"/>
        </w:rPr>
        <w:t>surface of the centrifugal pump</w:t>
      </w:r>
    </w:p>
    <w:p w14:paraId="0FA146DF" w14:textId="6C53BF85" w:rsidR="00BC4B0B" w:rsidRPr="007058E5" w:rsidRDefault="002702F7" w:rsidP="007058E5">
      <w:pPr>
        <w:pStyle w:val="CETBodytext"/>
      </w:pPr>
      <w:bookmarkStart w:id="15" w:name="OLE_LINK55"/>
      <w:bookmarkStart w:id="16" w:name="OLE_LINK56"/>
      <w:r w:rsidRPr="002702F7">
        <w:t>The composite exhibits a stable, high-viscosity paste structure, indicating effective dispersion of filler particles within the epoxy matrix. This morphology promotes the formation of a uniform coating layer.</w:t>
      </w:r>
      <w:bookmarkEnd w:id="15"/>
      <w:bookmarkEnd w:id="16"/>
    </w:p>
    <w:p w14:paraId="35DFD2D3" w14:textId="761DE775" w:rsidR="00E53995" w:rsidRDefault="00E53995" w:rsidP="00E53995">
      <w:pPr>
        <w:pStyle w:val="aff1"/>
        <w:rPr>
          <w:rFonts w:cs="Arial"/>
          <w:sz w:val="18"/>
          <w:szCs w:val="18"/>
          <w:lang w:val="en-US"/>
        </w:rPr>
      </w:pPr>
      <w:r w:rsidRPr="00E53995">
        <w:rPr>
          <w:rFonts w:cs="Arial"/>
          <w:sz w:val="18"/>
          <w:szCs w:val="18"/>
          <w:lang w:val="en-US"/>
        </w:rPr>
        <w:t>The figure shows the impeller, volute, and cross-section of the coating layer. The smooth and homogeneous coating surface reduces wall friction, lowers turbulence intensity, and consequently decreases hydrodynamic losses. In addition, an adequate coating thickness (2–4 mm) limits direct particle impact on the metal surfa</w:t>
      </w:r>
      <w:r>
        <w:rPr>
          <w:rFonts w:cs="Arial"/>
          <w:sz w:val="18"/>
          <w:szCs w:val="18"/>
          <w:lang w:val="en-US"/>
        </w:rPr>
        <w:t xml:space="preserve">ce, thereby mitigating erosion. </w:t>
      </w:r>
      <w:r w:rsidRPr="00E53995">
        <w:rPr>
          <w:rFonts w:cs="Arial"/>
          <w:sz w:val="18"/>
          <w:szCs w:val="18"/>
          <w:lang w:val="en-US"/>
        </w:rPr>
        <w:t xml:space="preserve">The results of the CFD simulations and experimental investigations are presented in Figures </w:t>
      </w:r>
      <w:r w:rsidR="00954028">
        <w:rPr>
          <w:rFonts w:cs="Arial"/>
          <w:sz w:val="18"/>
          <w:szCs w:val="18"/>
          <w:lang w:val="uz-Cyrl-UZ"/>
        </w:rPr>
        <w:t>5</w:t>
      </w:r>
      <w:r w:rsidRPr="00E53995">
        <w:rPr>
          <w:rFonts w:cs="Arial"/>
          <w:sz w:val="18"/>
          <w:szCs w:val="18"/>
          <w:lang w:val="en-US"/>
        </w:rPr>
        <w:t>–</w:t>
      </w:r>
      <w:r w:rsidR="00954028">
        <w:rPr>
          <w:rFonts w:cs="Arial"/>
          <w:sz w:val="18"/>
          <w:szCs w:val="18"/>
          <w:lang w:val="uz-Cyrl-UZ"/>
        </w:rPr>
        <w:t>8</w:t>
      </w:r>
      <w:r w:rsidRPr="00E53995">
        <w:rPr>
          <w:rFonts w:cs="Arial"/>
          <w:sz w:val="18"/>
          <w:szCs w:val="18"/>
          <w:lang w:val="en-US"/>
        </w:rPr>
        <w:t>, illustrating the flow structure, erosion behavior, and variations in hydraulic performance within the pump.</w:t>
      </w:r>
    </w:p>
    <w:tbl>
      <w:tblPr>
        <w:tblStyle w:val="aff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9"/>
        <w:gridCol w:w="4528"/>
      </w:tblGrid>
      <w:tr w:rsidR="005003DC" w14:paraId="55EDE395" w14:textId="77777777" w:rsidTr="00EE11F0">
        <w:tc>
          <w:tcPr>
            <w:tcW w:w="4259" w:type="dxa"/>
          </w:tcPr>
          <w:p w14:paraId="39038CB9" w14:textId="07575366" w:rsidR="005003DC" w:rsidRDefault="005003DC" w:rsidP="00E043AE">
            <w:pPr>
              <w:pStyle w:val="aff1"/>
              <w:rPr>
                <w:rFonts w:cs="Arial"/>
                <w:sz w:val="18"/>
                <w:szCs w:val="18"/>
                <w:lang w:val="en-US"/>
              </w:rPr>
            </w:pPr>
            <w:r>
              <w:rPr>
                <w:noProof/>
                <w:lang w:val="ru-RU" w:eastAsia="ru-RU"/>
              </w:rPr>
              <w:drawing>
                <wp:inline distT="0" distB="0" distL="0" distR="0" wp14:anchorId="3C2711C6" wp14:editId="37561946">
                  <wp:extent cx="2571750" cy="1762125"/>
                  <wp:effectExtent l="0" t="0" r="0"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594977" cy="1778040"/>
                          </a:xfrm>
                          <a:prstGeom prst="rect">
                            <a:avLst/>
                          </a:prstGeom>
                        </pic:spPr>
                      </pic:pic>
                    </a:graphicData>
                  </a:graphic>
                </wp:inline>
              </w:drawing>
            </w:r>
          </w:p>
        </w:tc>
        <w:tc>
          <w:tcPr>
            <w:tcW w:w="4528" w:type="dxa"/>
          </w:tcPr>
          <w:p w14:paraId="583A76D6" w14:textId="1383640C" w:rsidR="005003DC" w:rsidRDefault="005003DC" w:rsidP="00E043AE">
            <w:pPr>
              <w:pStyle w:val="aff1"/>
              <w:rPr>
                <w:rFonts w:cs="Arial"/>
                <w:sz w:val="18"/>
                <w:szCs w:val="18"/>
                <w:lang w:val="en-US"/>
              </w:rPr>
            </w:pPr>
            <w:r>
              <w:rPr>
                <w:noProof/>
                <w:lang w:val="ru-RU" w:eastAsia="ru-RU"/>
              </w:rPr>
              <w:drawing>
                <wp:inline distT="0" distB="0" distL="0" distR="0" wp14:anchorId="32A1D9E8" wp14:editId="07899EDE">
                  <wp:extent cx="2742658" cy="1762125"/>
                  <wp:effectExtent l="0" t="0" r="63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744275" cy="1763164"/>
                          </a:xfrm>
                          <a:prstGeom prst="rect">
                            <a:avLst/>
                          </a:prstGeom>
                        </pic:spPr>
                      </pic:pic>
                    </a:graphicData>
                  </a:graphic>
                </wp:inline>
              </w:drawing>
            </w:r>
          </w:p>
        </w:tc>
      </w:tr>
    </w:tbl>
    <w:p w14:paraId="488B3431" w14:textId="2655456F" w:rsidR="005077D0" w:rsidRDefault="00EE11F0" w:rsidP="005077D0">
      <w:pPr>
        <w:pStyle w:val="aff1"/>
        <w:ind w:firstLine="567"/>
        <w:jc w:val="center"/>
        <w:rPr>
          <w:rFonts w:cs="Arial"/>
          <w:b/>
          <w:sz w:val="18"/>
          <w:szCs w:val="18"/>
          <w:lang w:val="en-US" w:eastAsia="ru-RU"/>
        </w:rPr>
      </w:pPr>
      <w:r w:rsidRPr="00EE11F0">
        <w:rPr>
          <w:rFonts w:cs="Arial"/>
          <w:b/>
          <w:sz w:val="18"/>
          <w:szCs w:val="18"/>
          <w:lang w:val="en-US"/>
        </w:rPr>
        <w:t xml:space="preserve">Figure </w:t>
      </w:r>
      <w:r w:rsidR="00954028">
        <w:rPr>
          <w:rFonts w:cs="Arial"/>
          <w:b/>
          <w:sz w:val="18"/>
          <w:szCs w:val="18"/>
          <w:lang w:val="uz-Cyrl-UZ"/>
        </w:rPr>
        <w:t>5</w:t>
      </w:r>
      <w:r w:rsidRPr="00EE11F0">
        <w:rPr>
          <w:rFonts w:cs="Arial"/>
          <w:b/>
          <w:sz w:val="18"/>
          <w:szCs w:val="18"/>
          <w:lang w:val="en-US"/>
        </w:rPr>
        <w:t>: Velocity field distribution in the pump obtained from CFD simulation</w:t>
      </w:r>
      <w:r w:rsidR="005077D0">
        <w:rPr>
          <w:rFonts w:cs="Arial"/>
          <w:b/>
          <w:sz w:val="18"/>
          <w:szCs w:val="18"/>
          <w:lang w:val="en-US"/>
        </w:rPr>
        <w:t xml:space="preserve"> </w:t>
      </w:r>
    </w:p>
    <w:p w14:paraId="1F5E05C2" w14:textId="5BBA8ABE" w:rsidR="005077D0" w:rsidRDefault="00EE11F0" w:rsidP="005077D0">
      <w:pPr>
        <w:pStyle w:val="aff1"/>
        <w:spacing w:before="120" w:after="120"/>
        <w:ind w:firstLine="567"/>
        <w:rPr>
          <w:rFonts w:cs="Arial"/>
          <w:sz w:val="18"/>
          <w:szCs w:val="18"/>
          <w:lang w:val="en-US"/>
        </w:rPr>
      </w:pPr>
      <w:r w:rsidRPr="00EE11F0">
        <w:rPr>
          <w:rStyle w:val="afffe"/>
          <w:rFonts w:cs="Arial"/>
          <w:b w:val="0"/>
          <w:sz w:val="18"/>
          <w:szCs w:val="18"/>
          <w:lang w:val="en-US"/>
        </w:rPr>
        <w:t>The velocity field distribution inside the pump was analyzed (Figure 8).</w:t>
      </w:r>
      <w:r w:rsidR="005077D0">
        <w:rPr>
          <w:rFonts w:cs="Arial"/>
          <w:sz w:val="18"/>
          <w:szCs w:val="18"/>
          <w:lang w:val="en-US"/>
        </w:rPr>
        <w:t xml:space="preserve"> </w:t>
      </w:r>
    </w:p>
    <w:p w14:paraId="5CBE60D5" w14:textId="5892CE6B" w:rsidR="00B06A58" w:rsidRDefault="005077D0" w:rsidP="005F1217">
      <w:pPr>
        <w:pStyle w:val="CETEquation"/>
        <w:tabs>
          <w:tab w:val="clear" w:pos="7100"/>
          <w:tab w:val="right" w:pos="1985"/>
        </w:tabs>
        <w:jc w:val="right"/>
        <w:rPr>
          <w:lang w:val="en-US"/>
        </w:rPr>
      </w:pPr>
      <m:oMath>
        <m:r>
          <w:rPr>
            <w:rFonts w:ascii="Cambria Math" w:hAnsi="Cambria Math"/>
            <w:lang w:val="en-US"/>
          </w:rPr>
          <m:t>Re=</m:t>
        </m:r>
        <m:f>
          <m:fPr>
            <m:ctrlPr>
              <w:rPr>
                <w:rFonts w:ascii="Cambria Math" w:hAnsi="Cambria Math"/>
                <w:lang w:val="en-US"/>
              </w:rPr>
            </m:ctrlPr>
          </m:fPr>
          <m:num>
            <m:r>
              <w:rPr>
                <w:rFonts w:ascii="Cambria Math" w:hAnsi="Cambria Math"/>
                <w:lang w:val="en-US"/>
              </w:rPr>
              <m:t>ρvD</m:t>
            </m:r>
          </m:num>
          <m:den>
            <m:r>
              <w:rPr>
                <w:rFonts w:ascii="Cambria Math" w:hAnsi="Cambria Math"/>
                <w:lang w:val="en-US"/>
              </w:rPr>
              <m:t>μ</m:t>
            </m:r>
          </m:den>
        </m:f>
      </m:oMath>
      <w:r w:rsidR="003375E2">
        <w:rPr>
          <w:lang w:val="en-US"/>
        </w:rPr>
        <w:t xml:space="preserve"> </w:t>
      </w:r>
      <w:r w:rsidR="005F1217">
        <w:rPr>
          <w:lang w:val="en-US"/>
        </w:rPr>
        <w:tab/>
      </w:r>
      <w:r w:rsidR="005F1217">
        <w:rPr>
          <w:lang w:val="en-US"/>
        </w:rPr>
        <w:tab/>
      </w:r>
      <w:r w:rsidR="005F1217">
        <w:rPr>
          <w:lang w:val="en-US"/>
        </w:rPr>
        <w:tab/>
      </w:r>
      <w:r w:rsidR="005F1217">
        <w:rPr>
          <w:lang w:val="en-US"/>
        </w:rPr>
        <w:tab/>
      </w:r>
      <w:r w:rsidR="003375E2">
        <w:rPr>
          <w:lang w:val="en-US"/>
        </w:rPr>
        <w:tab/>
      </w:r>
      <w:r>
        <w:rPr>
          <w:lang w:val="en-US"/>
        </w:rPr>
        <w:t>(5)</w:t>
      </w:r>
    </w:p>
    <w:p w14:paraId="73B9EDD1" w14:textId="5C96DB9E" w:rsidR="005077D0" w:rsidRDefault="00EE11F0" w:rsidP="00D17782">
      <w:pPr>
        <w:pStyle w:val="aff1"/>
        <w:tabs>
          <w:tab w:val="clear" w:pos="7100"/>
        </w:tabs>
        <w:spacing w:before="120" w:after="120"/>
        <w:rPr>
          <w:rFonts w:cs="Arial"/>
          <w:sz w:val="18"/>
          <w:szCs w:val="18"/>
          <w:lang w:val="en-US"/>
        </w:rPr>
      </w:pPr>
      <w:bookmarkStart w:id="17" w:name="OLE_LINK46"/>
      <w:bookmarkEnd w:id="17"/>
      <w:r w:rsidRPr="00EE11F0">
        <w:rPr>
          <w:rFonts w:cs="Arial"/>
          <w:sz w:val="18"/>
          <w:szCs w:val="18"/>
          <w:lang w:val="en-US"/>
        </w:rPr>
        <w:t xml:space="preserve">As shown in Figure </w:t>
      </w:r>
      <w:r w:rsidR="00954028">
        <w:rPr>
          <w:rFonts w:cs="Arial"/>
          <w:sz w:val="18"/>
          <w:szCs w:val="18"/>
          <w:lang w:val="uz-Cyrl-UZ"/>
        </w:rPr>
        <w:t>6</w:t>
      </w:r>
      <w:r w:rsidRPr="00EE11F0">
        <w:rPr>
          <w:rFonts w:cs="Arial"/>
          <w:sz w:val="18"/>
          <w:szCs w:val="18"/>
          <w:lang w:val="en-US"/>
        </w:rPr>
        <w:t xml:space="preserve">, the flow velocity ranges from 5 to 6 m/s, corresponding to </w:t>
      </w:r>
      <w:r w:rsidR="00061F71">
        <w:rPr>
          <w:rFonts w:cs="Arial"/>
          <w:sz w:val="18"/>
          <w:szCs w:val="18"/>
          <w:lang w:val="en-US"/>
        </w:rPr>
        <w:t>a Reynolds number of Re ≈ (1</w:t>
      </w:r>
      <w:r w:rsidRPr="00EE11F0">
        <w:rPr>
          <w:rFonts w:cs="Arial"/>
          <w:sz w:val="18"/>
          <w:szCs w:val="18"/>
          <w:lang w:val="en-US"/>
        </w:rPr>
        <w:t>× 10⁶ for the hydro-mixture. This indicates a fully turbulent flow regime. Under such conditions, wall friction and surface roughness become the dominant factors influencing hydrodynamic losses, highlighting the critical role of coating surface properties.</w:t>
      </w:r>
    </w:p>
    <w:tbl>
      <w:tblPr>
        <w:tblStyle w:val="aff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3"/>
        <w:gridCol w:w="4283"/>
      </w:tblGrid>
      <w:tr w:rsidR="00D17782" w14:paraId="33FBD30A" w14:textId="77777777" w:rsidTr="00D17782">
        <w:trPr>
          <w:trHeight w:val="2341"/>
        </w:trPr>
        <w:tc>
          <w:tcPr>
            <w:tcW w:w="4283" w:type="dxa"/>
          </w:tcPr>
          <w:p w14:paraId="191FA683" w14:textId="6D283B48" w:rsidR="00D17782" w:rsidRDefault="00D17782" w:rsidP="00E043AE">
            <w:pPr>
              <w:pStyle w:val="aff1"/>
              <w:rPr>
                <w:rFonts w:cs="Arial"/>
                <w:sz w:val="18"/>
                <w:szCs w:val="18"/>
                <w:lang w:val="en-US"/>
              </w:rPr>
            </w:pPr>
            <w:r w:rsidRPr="00D17782">
              <w:rPr>
                <w:rFonts w:cs="Arial"/>
                <w:noProof/>
                <w:sz w:val="18"/>
                <w:szCs w:val="18"/>
                <w:lang w:val="ru-RU" w:eastAsia="ru-RU"/>
              </w:rPr>
              <w:drawing>
                <wp:inline distT="0" distB="0" distL="0" distR="0" wp14:anchorId="3B773AA2" wp14:editId="64DAB3CD">
                  <wp:extent cx="2571750" cy="1495425"/>
                  <wp:effectExtent l="0" t="0" r="0"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588278" cy="1505036"/>
                          </a:xfrm>
                          <a:prstGeom prst="rect">
                            <a:avLst/>
                          </a:prstGeom>
                        </pic:spPr>
                      </pic:pic>
                    </a:graphicData>
                  </a:graphic>
                </wp:inline>
              </w:drawing>
            </w:r>
          </w:p>
        </w:tc>
        <w:tc>
          <w:tcPr>
            <w:tcW w:w="4283" w:type="dxa"/>
          </w:tcPr>
          <w:p w14:paraId="6E43A41D" w14:textId="7EFFED56" w:rsidR="00D17782" w:rsidRDefault="00D17782" w:rsidP="00E043AE">
            <w:pPr>
              <w:pStyle w:val="aff1"/>
              <w:rPr>
                <w:rFonts w:cs="Arial"/>
                <w:sz w:val="18"/>
                <w:szCs w:val="18"/>
                <w:lang w:val="en-US"/>
              </w:rPr>
            </w:pPr>
            <w:r w:rsidRPr="00D17782">
              <w:rPr>
                <w:rFonts w:cs="Arial"/>
                <w:noProof/>
                <w:sz w:val="18"/>
                <w:szCs w:val="18"/>
                <w:lang w:val="ru-RU" w:eastAsia="ru-RU"/>
              </w:rPr>
              <w:drawing>
                <wp:inline distT="0" distB="0" distL="0" distR="0" wp14:anchorId="3B40E67E" wp14:editId="26DDF7BA">
                  <wp:extent cx="2479040" cy="1495425"/>
                  <wp:effectExtent l="0" t="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479040" cy="1495425"/>
                          </a:xfrm>
                          <a:prstGeom prst="rect">
                            <a:avLst/>
                          </a:prstGeom>
                        </pic:spPr>
                      </pic:pic>
                    </a:graphicData>
                  </a:graphic>
                </wp:inline>
              </w:drawing>
            </w:r>
          </w:p>
        </w:tc>
      </w:tr>
    </w:tbl>
    <w:p w14:paraId="08DA5EFB" w14:textId="5EA2047F" w:rsidR="002C0AD9" w:rsidRDefault="002C0AD9" w:rsidP="002C0AD9">
      <w:pPr>
        <w:pStyle w:val="aff1"/>
        <w:jc w:val="center"/>
        <w:rPr>
          <w:rFonts w:cs="Arial"/>
          <w:b/>
          <w:sz w:val="18"/>
          <w:szCs w:val="18"/>
        </w:rPr>
      </w:pPr>
      <w:r w:rsidRPr="002C0AD9">
        <w:rPr>
          <w:rFonts w:cs="Arial"/>
          <w:b/>
          <w:sz w:val="18"/>
          <w:szCs w:val="18"/>
        </w:rPr>
        <w:t xml:space="preserve">Figure </w:t>
      </w:r>
      <w:r w:rsidR="00954028">
        <w:rPr>
          <w:rFonts w:cs="Arial"/>
          <w:b/>
          <w:sz w:val="18"/>
          <w:szCs w:val="18"/>
          <w:lang w:val="uz-Cyrl-UZ"/>
        </w:rPr>
        <w:t>6</w:t>
      </w:r>
      <w:r w:rsidRPr="002C0AD9">
        <w:rPr>
          <w:rFonts w:cs="Arial"/>
          <w:b/>
          <w:sz w:val="18"/>
          <w:szCs w:val="18"/>
        </w:rPr>
        <w:t>: Erosion distribution within the pump</w:t>
      </w:r>
    </w:p>
    <w:p w14:paraId="48D3A205" w14:textId="1B32FD02" w:rsidR="00806CE5" w:rsidRDefault="00EE11F0" w:rsidP="0085502D">
      <w:pPr>
        <w:pStyle w:val="CETBodytext"/>
      </w:pPr>
      <w:r w:rsidRPr="00EE11F0">
        <w:t xml:space="preserve">The distribution of erosion intensity was analyzed, revealing that maximum erosion occurs at the volute inlet and impeller outlet regions (Figure </w:t>
      </w:r>
      <w:r w:rsidR="00954028">
        <w:rPr>
          <w:lang w:val="uz-Cyrl-UZ"/>
        </w:rPr>
        <w:t>7</w:t>
      </w:r>
      <w:r w:rsidRPr="00EE11F0">
        <w:t xml:space="preserve">). Under turbulent flow conditions, the friction factor (λ) is strongly dependent </w:t>
      </w:r>
      <w:r w:rsidRPr="00EE11F0">
        <w:lastRenderedPageBreak/>
        <w:t xml:space="preserve">on surface roughness (ε). Due to the high roughness of concrete coatings, λ increases, leading </w:t>
      </w:r>
      <w:r>
        <w:t>to elevated hydrodynamic losses:</w:t>
      </w:r>
    </w:p>
    <w:p w14:paraId="79FB7AB2" w14:textId="1508F71C" w:rsidR="00806CE5" w:rsidRDefault="00806CE5" w:rsidP="005F1217">
      <w:pPr>
        <w:pStyle w:val="CETEquation"/>
        <w:tabs>
          <w:tab w:val="clear" w:pos="7100"/>
          <w:tab w:val="right" w:pos="2835"/>
        </w:tabs>
        <w:jc w:val="right"/>
        <w:rPr>
          <w:lang w:val="en-US"/>
        </w:rPr>
      </w:pPr>
      <m:oMath>
        <m:r>
          <w:rPr>
            <w:rFonts w:ascii="Cambria Math" w:hAnsi="Cambria Math"/>
          </w:rPr>
          <m:t>λ</m:t>
        </m:r>
        <m:r>
          <m:rPr>
            <m:sty m:val="p"/>
          </m:rPr>
          <w:rPr>
            <w:rFonts w:ascii="Cambria Math" w:hAnsi="Cambria Math"/>
            <w:lang w:val="en-US"/>
          </w:rPr>
          <m:t>=</m:t>
        </m:r>
        <m:f>
          <m:fPr>
            <m:ctrlPr>
              <w:rPr>
                <w:rFonts w:ascii="Cambria Math" w:hAnsi="Cambria Math"/>
              </w:rPr>
            </m:ctrlPr>
          </m:fPr>
          <m:num>
            <m:r>
              <m:rPr>
                <m:sty m:val="p"/>
              </m:rPr>
              <w:rPr>
                <w:rFonts w:ascii="Cambria Math" w:hAnsi="Cambria Math"/>
                <w:lang w:val="en-US"/>
              </w:rPr>
              <m:t>0.25</m:t>
            </m:r>
          </m:num>
          <m:den>
            <m:sSup>
              <m:sSupPr>
                <m:ctrlPr>
                  <w:rPr>
                    <w:rFonts w:ascii="Cambria Math" w:hAnsi="Cambria Math"/>
                  </w:rPr>
                </m:ctrlPr>
              </m:sSupPr>
              <m:e>
                <m:r>
                  <m:rPr>
                    <m:sty m:val="p"/>
                  </m:rPr>
                  <w:rPr>
                    <w:rFonts w:ascii="Cambria Math" w:hAnsi="Cambria Math"/>
                    <w:lang w:val="en-US"/>
                  </w:rPr>
                  <m:t>[</m:t>
                </m:r>
                <m:sSub>
                  <m:sSubPr>
                    <m:ctrlPr>
                      <w:rPr>
                        <w:rFonts w:ascii="Cambria Math" w:hAnsi="Cambria Math"/>
                      </w:rPr>
                    </m:ctrlPr>
                  </m:sSubPr>
                  <m:e>
                    <m:r>
                      <m:rPr>
                        <m:sty m:val="p"/>
                      </m:rPr>
                      <w:rPr>
                        <w:rFonts w:ascii="Cambria Math" w:hAnsi="Cambria Math"/>
                        <w:lang w:val="en-US"/>
                      </w:rPr>
                      <m:t>log⁡</m:t>
                    </m:r>
                  </m:e>
                  <m:sub>
                    <m:r>
                      <m:rPr>
                        <m:sty m:val="p"/>
                      </m:rPr>
                      <w:rPr>
                        <w:rFonts w:ascii="Cambria Math" w:hAnsi="Cambria Math"/>
                        <w:lang w:val="en-US"/>
                      </w:rPr>
                      <m:t>10</m:t>
                    </m:r>
                  </m:sub>
                </m:sSub>
                <m:r>
                  <m:rPr>
                    <m:sty m:val="p"/>
                  </m:rPr>
                  <w:rPr>
                    <w:rFonts w:ascii="Cambria Math" w:hAnsi="Cambria Math"/>
                    <w:lang w:val="en-US"/>
                  </w:rPr>
                  <m:t>(</m:t>
                </m:r>
                <m:f>
                  <m:fPr>
                    <m:ctrlPr>
                      <w:rPr>
                        <w:rFonts w:ascii="Cambria Math" w:hAnsi="Cambria Math"/>
                      </w:rPr>
                    </m:ctrlPr>
                  </m:fPr>
                  <m:num>
                    <m:r>
                      <w:rPr>
                        <w:rFonts w:ascii="Cambria Math" w:hAnsi="Cambria Math"/>
                      </w:rPr>
                      <m:t>ε</m:t>
                    </m:r>
                  </m:num>
                  <m:den>
                    <m:r>
                      <m:rPr>
                        <m:sty m:val="p"/>
                      </m:rPr>
                      <w:rPr>
                        <w:rFonts w:ascii="Cambria Math" w:hAnsi="Cambria Math"/>
                        <w:lang w:val="en-US"/>
                      </w:rPr>
                      <m:t>3.7</m:t>
                    </m:r>
                    <m:r>
                      <w:rPr>
                        <w:rFonts w:ascii="Cambria Math" w:hAnsi="Cambria Math"/>
                      </w:rPr>
                      <m:t>D</m:t>
                    </m:r>
                  </m:den>
                </m:f>
                <m:r>
                  <m:rPr>
                    <m:sty m:val="p"/>
                  </m:rPr>
                  <w:rPr>
                    <w:rFonts w:ascii="Cambria Math" w:hAnsi="Cambria Math"/>
                    <w:lang w:val="en-US"/>
                  </w:rPr>
                  <m:t>+</m:t>
                </m:r>
                <m:f>
                  <m:fPr>
                    <m:ctrlPr>
                      <w:rPr>
                        <w:rFonts w:ascii="Cambria Math" w:hAnsi="Cambria Math"/>
                      </w:rPr>
                    </m:ctrlPr>
                  </m:fPr>
                  <m:num>
                    <m:r>
                      <m:rPr>
                        <m:sty m:val="p"/>
                      </m:rPr>
                      <w:rPr>
                        <w:rFonts w:ascii="Cambria Math" w:hAnsi="Cambria Math"/>
                        <w:lang w:val="en-US"/>
                      </w:rPr>
                      <m:t>5.74</m:t>
                    </m:r>
                  </m:num>
                  <m:den>
                    <m:r>
                      <w:rPr>
                        <w:rFonts w:ascii="Cambria Math" w:hAnsi="Cambria Math"/>
                      </w:rPr>
                      <m:t>R</m:t>
                    </m:r>
                    <m:sSup>
                      <m:sSupPr>
                        <m:ctrlPr>
                          <w:rPr>
                            <w:rFonts w:ascii="Cambria Math" w:hAnsi="Cambria Math"/>
                          </w:rPr>
                        </m:ctrlPr>
                      </m:sSupPr>
                      <m:e>
                        <m:r>
                          <w:rPr>
                            <w:rFonts w:ascii="Cambria Math" w:hAnsi="Cambria Math"/>
                          </w:rPr>
                          <m:t>e</m:t>
                        </m:r>
                      </m:e>
                      <m:sup>
                        <m:r>
                          <m:rPr>
                            <m:sty m:val="p"/>
                          </m:rPr>
                          <w:rPr>
                            <w:rFonts w:ascii="Cambria Math" w:hAnsi="Cambria Math"/>
                            <w:lang w:val="en-US"/>
                          </w:rPr>
                          <m:t>0.9</m:t>
                        </m:r>
                      </m:sup>
                    </m:sSup>
                  </m:den>
                </m:f>
                <m:r>
                  <m:rPr>
                    <m:sty m:val="p"/>
                  </m:rPr>
                  <w:rPr>
                    <w:rFonts w:ascii="Cambria Math" w:hAnsi="Cambria Math"/>
                    <w:lang w:val="en-US"/>
                  </w:rPr>
                  <m:t>)]</m:t>
                </m:r>
              </m:e>
              <m:sup>
                <m:r>
                  <m:rPr>
                    <m:sty m:val="p"/>
                  </m:rPr>
                  <w:rPr>
                    <w:rFonts w:ascii="Cambria Math" w:hAnsi="Cambria Math"/>
                    <w:lang w:val="en-US"/>
                  </w:rPr>
                  <m:t>2</m:t>
                </m:r>
              </m:sup>
            </m:sSup>
          </m:den>
        </m:f>
      </m:oMath>
      <w:r w:rsidR="003375E2">
        <w:rPr>
          <w:lang w:val="en-US"/>
        </w:rPr>
        <w:t xml:space="preserve"> </w:t>
      </w:r>
      <w:r w:rsidR="003375E2">
        <w:rPr>
          <w:lang w:val="en-US"/>
        </w:rPr>
        <w:tab/>
      </w:r>
      <w:r w:rsidR="005F1217">
        <w:rPr>
          <w:lang w:val="en-US"/>
        </w:rPr>
        <w:tab/>
      </w:r>
      <w:r w:rsidR="005F1217">
        <w:rPr>
          <w:lang w:val="en-US"/>
        </w:rPr>
        <w:tab/>
      </w:r>
      <w:r w:rsidR="005F1217">
        <w:rPr>
          <w:lang w:val="en-US"/>
        </w:rPr>
        <w:tab/>
      </w:r>
      <w:r>
        <w:rPr>
          <w:lang w:val="en-US"/>
        </w:rPr>
        <w:t>(6)</w:t>
      </w:r>
    </w:p>
    <w:p w14:paraId="5965931D" w14:textId="201A0835" w:rsidR="00123982" w:rsidRPr="00A7162F" w:rsidRDefault="00EE11F0" w:rsidP="00A7162F">
      <w:pPr>
        <w:pStyle w:val="CETBodytext"/>
      </w:pPr>
      <w:bookmarkStart w:id="18" w:name="OLE_LINK68"/>
      <w:r w:rsidRPr="00A7162F">
        <w:t xml:space="preserve">Epoxy coatings enhance surface smoothness, reducing surface roughness (ε) and consequently lowering the friction factor (λ). This results in decreased flow resistance and improved hydraulic efficiency. Compared to uncoated metal surfaces, epoxy coatings reduce erosion by 30–40%, in agreement with experimental mass loss measurements. Pressure distribution and cavitation-prone regions were also evaluated (Figure </w:t>
      </w:r>
      <w:r w:rsidR="00641A76">
        <w:t>9</w:t>
      </w:r>
      <w:r w:rsidRPr="00A7162F">
        <w:t>). The minimum pressure is observed at the impeller inlet, identifying it as the primary cavitation region. The application of coatings smooths the pressure gradient and reduces low-pressure zones, thereby delaying cavitation inception.</w:t>
      </w:r>
      <w:bookmarkEnd w:id="18"/>
    </w:p>
    <w:tbl>
      <w:tblPr>
        <w:tblStyle w:val="afff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24"/>
        <w:gridCol w:w="4184"/>
      </w:tblGrid>
      <w:tr w:rsidR="00B53B11" w14:paraId="436CD03B" w14:textId="77777777" w:rsidTr="00FE27DA">
        <w:trPr>
          <w:trHeight w:val="2625"/>
          <w:jc w:val="center"/>
        </w:trPr>
        <w:tc>
          <w:tcPr>
            <w:tcW w:w="4324" w:type="dxa"/>
          </w:tcPr>
          <w:p w14:paraId="4486F135" w14:textId="3EF9889A" w:rsidR="00B53B11" w:rsidRDefault="00B53B11" w:rsidP="00E06345">
            <w:pPr>
              <w:pStyle w:val="aff1"/>
              <w:jc w:val="center"/>
              <w:rPr>
                <w:rFonts w:cs="Arial"/>
                <w:sz w:val="18"/>
                <w:szCs w:val="18"/>
                <w:lang w:val="en-US"/>
              </w:rPr>
            </w:pPr>
            <w:r w:rsidRPr="00B53B11">
              <w:rPr>
                <w:rFonts w:cs="Arial"/>
                <w:noProof/>
                <w:sz w:val="18"/>
                <w:szCs w:val="18"/>
                <w:lang w:val="ru-RU" w:eastAsia="ru-RU"/>
              </w:rPr>
              <w:drawing>
                <wp:inline distT="0" distB="0" distL="0" distR="0" wp14:anchorId="05FA5F27" wp14:editId="4A80D4C0">
                  <wp:extent cx="2420967" cy="16256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438997" cy="1637706"/>
                          </a:xfrm>
                          <a:prstGeom prst="rect">
                            <a:avLst/>
                          </a:prstGeom>
                        </pic:spPr>
                      </pic:pic>
                    </a:graphicData>
                  </a:graphic>
                </wp:inline>
              </w:drawing>
            </w:r>
          </w:p>
        </w:tc>
        <w:tc>
          <w:tcPr>
            <w:tcW w:w="4184" w:type="dxa"/>
          </w:tcPr>
          <w:p w14:paraId="07E05014" w14:textId="10B38DE2" w:rsidR="00B53B11" w:rsidRDefault="005768F0" w:rsidP="005768F0">
            <w:pPr>
              <w:pStyle w:val="aff1"/>
              <w:rPr>
                <w:rFonts w:cs="Arial"/>
                <w:sz w:val="18"/>
                <w:szCs w:val="18"/>
                <w:lang w:val="en-US"/>
              </w:rPr>
            </w:pPr>
            <w:r w:rsidRPr="005768F0">
              <w:rPr>
                <w:rFonts w:cs="Arial"/>
                <w:noProof/>
                <w:sz w:val="18"/>
                <w:szCs w:val="18"/>
                <w:lang w:val="ru-RU" w:eastAsia="ru-RU"/>
              </w:rPr>
              <w:drawing>
                <wp:inline distT="0" distB="0" distL="0" distR="0" wp14:anchorId="5356D85D" wp14:editId="362B952E">
                  <wp:extent cx="2476500" cy="165989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486530" cy="1666613"/>
                          </a:xfrm>
                          <a:prstGeom prst="rect">
                            <a:avLst/>
                          </a:prstGeom>
                        </pic:spPr>
                      </pic:pic>
                    </a:graphicData>
                  </a:graphic>
                </wp:inline>
              </w:drawing>
            </w:r>
          </w:p>
        </w:tc>
      </w:tr>
    </w:tbl>
    <w:p w14:paraId="445B7DB0" w14:textId="6D4953CD" w:rsidR="00FE27DA" w:rsidRDefault="00FE27DA" w:rsidP="00673164">
      <w:pPr>
        <w:pStyle w:val="aff1"/>
        <w:jc w:val="center"/>
        <w:rPr>
          <w:rFonts w:cs="Arial"/>
          <w:b/>
          <w:sz w:val="18"/>
          <w:szCs w:val="18"/>
          <w:lang w:val="en-US"/>
        </w:rPr>
      </w:pPr>
      <w:r>
        <w:rPr>
          <w:noProof/>
          <w:lang w:val="ru-RU" w:eastAsia="ru-RU"/>
        </w:rPr>
        <w:drawing>
          <wp:inline distT="0" distB="0" distL="0" distR="0" wp14:anchorId="3120C693" wp14:editId="1B720385">
            <wp:extent cx="4872904" cy="1571625"/>
            <wp:effectExtent l="0" t="0" r="444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880332" cy="1574021"/>
                    </a:xfrm>
                    <a:prstGeom prst="rect">
                      <a:avLst/>
                    </a:prstGeom>
                  </pic:spPr>
                </pic:pic>
              </a:graphicData>
            </a:graphic>
          </wp:inline>
        </w:drawing>
      </w:r>
    </w:p>
    <w:p w14:paraId="390E1C1D" w14:textId="1FD2FF3D" w:rsidR="00673164" w:rsidRDefault="00673164" w:rsidP="00673164">
      <w:pPr>
        <w:pStyle w:val="aff1"/>
        <w:jc w:val="center"/>
        <w:rPr>
          <w:rFonts w:cs="Arial"/>
          <w:b/>
          <w:sz w:val="18"/>
          <w:szCs w:val="18"/>
          <w:lang w:val="en-US"/>
        </w:rPr>
      </w:pPr>
      <w:r w:rsidRPr="00673164">
        <w:rPr>
          <w:rFonts w:cs="Arial"/>
          <w:b/>
          <w:sz w:val="18"/>
          <w:szCs w:val="18"/>
          <w:lang w:val="en-US"/>
        </w:rPr>
        <w:t xml:space="preserve">Figure </w:t>
      </w:r>
      <w:r w:rsidR="00954028">
        <w:rPr>
          <w:rFonts w:cs="Arial"/>
          <w:b/>
          <w:sz w:val="18"/>
          <w:szCs w:val="18"/>
          <w:lang w:val="uz-Cyrl-UZ"/>
        </w:rPr>
        <w:t>7</w:t>
      </w:r>
      <w:r w:rsidRPr="00673164">
        <w:rPr>
          <w:rFonts w:cs="Arial"/>
          <w:b/>
          <w:sz w:val="18"/>
          <w:szCs w:val="18"/>
          <w:lang w:val="en-US"/>
        </w:rPr>
        <w:t>: Pressure and cavitation distribution</w:t>
      </w:r>
    </w:p>
    <w:p w14:paraId="429DBCFF" w14:textId="48AA22C1" w:rsidR="009A1F5D" w:rsidRDefault="00673164" w:rsidP="00A7162F">
      <w:pPr>
        <w:pStyle w:val="CETBodytext"/>
      </w:pPr>
      <w:r w:rsidRPr="00673164">
        <w:t>Pump efficiency was compared across different c</w:t>
      </w:r>
      <w:r w:rsidR="00797F6F">
        <w:t xml:space="preserve">oating configurations (Figure </w:t>
      </w:r>
      <w:r w:rsidR="00613ACE">
        <w:rPr>
          <w:lang w:val="uz-Cyrl-UZ"/>
        </w:rPr>
        <w:t>8</w:t>
      </w:r>
      <w:r w:rsidRPr="00673164">
        <w:t>). The efficiency of the uncoated metal surface was approximately η ≈ 0.68, while a decrease was observed with concrete coating. In contrast, the application of epoxy coating increased efficiency to η ≈ 0.74.</w:t>
      </w:r>
    </w:p>
    <w:p w14:paraId="1237E44A" w14:textId="7624EA49" w:rsidR="009578AB" w:rsidRDefault="009578AB" w:rsidP="009578AB">
      <w:pPr>
        <w:pStyle w:val="CETBodytext"/>
        <w:jc w:val="center"/>
      </w:pPr>
      <w:r w:rsidRPr="009578AB">
        <w:rPr>
          <w:noProof/>
          <w:lang w:val="ru-RU" w:eastAsia="ru-RU"/>
        </w:rPr>
        <w:drawing>
          <wp:inline distT="0" distB="0" distL="0" distR="0" wp14:anchorId="0D946DB9" wp14:editId="45EE4AE2">
            <wp:extent cx="3162123" cy="1752600"/>
            <wp:effectExtent l="0" t="0" r="635" b="0"/>
            <wp:docPr id="2" name="Рисунок 2" descr="C:\Users\Admin\Downloads\Telegram Desktop\image_2026-07-27_15-11-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Telegram Desktop\image_2026-07-27_15-11-36.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1040" cy="227818"/>
                    </a:xfrm>
                    <a:prstGeom prst="rect">
                      <a:avLst/>
                    </a:prstGeom>
                    <a:noFill/>
                    <a:ln>
                      <a:noFill/>
                    </a:ln>
                  </pic:spPr>
                </pic:pic>
              </a:graphicData>
            </a:graphic>
          </wp:inline>
        </w:drawing>
      </w:r>
    </w:p>
    <w:p w14:paraId="6C91AF9F" w14:textId="31B8376B" w:rsidR="006E00E5" w:rsidRDefault="008A00F6" w:rsidP="008A00F6">
      <w:pPr>
        <w:pStyle w:val="aff1"/>
        <w:jc w:val="center"/>
        <w:rPr>
          <w:rFonts w:cs="Arial"/>
          <w:b/>
          <w:sz w:val="18"/>
          <w:szCs w:val="18"/>
          <w:lang w:val="en-US"/>
        </w:rPr>
      </w:pPr>
      <w:r w:rsidRPr="008A00F6">
        <w:rPr>
          <w:rFonts w:cs="Arial"/>
          <w:b/>
          <w:sz w:val="18"/>
          <w:szCs w:val="18"/>
          <w:lang w:val="en-US"/>
        </w:rPr>
        <w:t xml:space="preserve">Figure </w:t>
      </w:r>
      <w:r w:rsidR="00613ACE">
        <w:rPr>
          <w:rFonts w:cs="Arial"/>
          <w:b/>
          <w:sz w:val="18"/>
          <w:szCs w:val="18"/>
          <w:lang w:val="uz-Cyrl-UZ"/>
        </w:rPr>
        <w:t>8</w:t>
      </w:r>
      <w:r w:rsidRPr="008A00F6">
        <w:rPr>
          <w:rFonts w:cs="Arial"/>
          <w:b/>
          <w:sz w:val="18"/>
          <w:szCs w:val="18"/>
          <w:lang w:val="en-US"/>
        </w:rPr>
        <w:t xml:space="preserve">: </w:t>
      </w:r>
      <w:r w:rsidR="009578AB" w:rsidRPr="009578AB">
        <w:rPr>
          <w:rFonts w:cs="Arial"/>
          <w:b/>
          <w:sz w:val="18"/>
          <w:szCs w:val="18"/>
          <w:lang w:val="en-US"/>
        </w:rPr>
        <w:t>Comparison of pump efficiency under different internal surface conditions</w:t>
      </w:r>
    </w:p>
    <w:p w14:paraId="0E545FF6" w14:textId="7C4326C0" w:rsidR="00402945" w:rsidRPr="00A814C5" w:rsidRDefault="00A814C5" w:rsidP="00A814C5">
      <w:pPr>
        <w:pStyle w:val="aff1"/>
        <w:spacing w:before="120"/>
        <w:rPr>
          <w:rFonts w:cs="Arial"/>
          <w:sz w:val="18"/>
          <w:szCs w:val="18"/>
          <w:lang w:val="en-US"/>
        </w:rPr>
      </w:pPr>
      <w:r w:rsidRPr="00A814C5">
        <w:rPr>
          <w:rFonts w:cs="Arial"/>
          <w:sz w:val="18"/>
          <w:szCs w:val="18"/>
          <w:lang w:val="en-US"/>
        </w:rPr>
        <w:t>According to the Darcy–Weisbach</w:t>
      </w:r>
      <w:r>
        <w:rPr>
          <w:rFonts w:cs="Arial"/>
          <w:sz w:val="18"/>
          <w:szCs w:val="18"/>
          <w:lang w:val="en-US"/>
        </w:rPr>
        <w:t xml:space="preserve"> equation, the hydraulic loss </w:t>
      </w:r>
      <m:oMath>
        <m:sSub>
          <m:sSubPr>
            <m:ctrlPr>
              <w:rPr>
                <w:rFonts w:ascii="Cambria Math" w:hAnsi="Cambria Math" w:cs="Arial"/>
                <w:sz w:val="18"/>
                <w:szCs w:val="18"/>
                <w:lang w:val="en-US"/>
              </w:rPr>
            </m:ctrlPr>
          </m:sSubPr>
          <m:e>
            <m:r>
              <w:rPr>
                <w:rFonts w:ascii="Cambria Math" w:hAnsi="Cambria Math" w:cs="Arial"/>
                <w:sz w:val="18"/>
                <w:szCs w:val="18"/>
                <w:lang w:val="en-US"/>
              </w:rPr>
              <m:t>h</m:t>
            </m:r>
          </m:e>
          <m:sub>
            <m:r>
              <w:rPr>
                <w:rFonts w:ascii="Cambria Math" w:hAnsi="Cambria Math" w:cs="Arial"/>
                <w:sz w:val="18"/>
                <w:szCs w:val="18"/>
                <w:lang w:val="en-US"/>
              </w:rPr>
              <m:t>f</m:t>
            </m:r>
          </m:sub>
        </m:sSub>
        <m:r>
          <w:rPr>
            <w:rFonts w:ascii="Cambria Math" w:hAnsi="Cambria Math" w:cs="Arial"/>
            <w:sz w:val="18"/>
            <w:szCs w:val="18"/>
            <w:lang w:val="en-US"/>
          </w:rPr>
          <m:t xml:space="preserve"> </m:t>
        </m:r>
      </m:oMath>
      <w:r w:rsidRPr="00A814C5">
        <w:rPr>
          <w:rFonts w:cs="Arial"/>
          <w:sz w:val="18"/>
          <w:szCs w:val="18"/>
          <w:lang w:val="en-US"/>
        </w:rPr>
        <w:t>is directly proportional to the friction factor (λ)..</w:t>
      </w:r>
      <w:r w:rsidR="00402945" w:rsidRPr="00A814C5">
        <w:rPr>
          <w:rFonts w:cs="Arial"/>
          <w:sz w:val="18"/>
          <w:szCs w:val="18"/>
          <w:lang w:val="en-US"/>
        </w:rPr>
        <w:t xml:space="preserve"> </w:t>
      </w:r>
    </w:p>
    <w:bookmarkStart w:id="19" w:name="OLE_LINK74"/>
    <w:bookmarkStart w:id="20" w:name="OLE_LINK75"/>
    <w:bookmarkStart w:id="21" w:name="OLE_LINK78"/>
    <w:p w14:paraId="55F207C7" w14:textId="45CA8AE1" w:rsidR="00402945" w:rsidRPr="001661C8" w:rsidRDefault="00943E75" w:rsidP="00402945">
      <w:pPr>
        <w:pStyle w:val="aff1"/>
        <w:tabs>
          <w:tab w:val="clear" w:pos="7100"/>
        </w:tabs>
        <w:spacing w:before="240" w:after="240"/>
        <w:jc w:val="right"/>
        <w:rPr>
          <w:rFonts w:cs="Arial"/>
          <w:sz w:val="18"/>
          <w:szCs w:val="18"/>
          <w:lang w:val="en-US"/>
        </w:rPr>
      </w:pPr>
      <m:oMath>
        <m:sSub>
          <m:sSubPr>
            <m:ctrlPr>
              <w:rPr>
                <w:rFonts w:ascii="Cambria Math" w:hAnsi="Cambria Math" w:cs="Arial"/>
                <w:sz w:val="18"/>
                <w:szCs w:val="18"/>
                <w:lang w:val="en-US"/>
              </w:rPr>
            </m:ctrlPr>
          </m:sSubPr>
          <m:e>
            <m:r>
              <w:rPr>
                <w:rFonts w:ascii="Cambria Math" w:hAnsi="Cambria Math" w:cs="Arial"/>
                <w:sz w:val="18"/>
                <w:szCs w:val="18"/>
                <w:lang w:val="en-US"/>
              </w:rPr>
              <m:t>h</m:t>
            </m:r>
          </m:e>
          <m:sub>
            <m:r>
              <w:rPr>
                <w:rFonts w:ascii="Cambria Math" w:hAnsi="Cambria Math" w:cs="Arial"/>
                <w:sz w:val="18"/>
                <w:szCs w:val="18"/>
                <w:lang w:val="en-US"/>
              </w:rPr>
              <m:t>f</m:t>
            </m:r>
          </m:sub>
        </m:sSub>
        <w:bookmarkEnd w:id="19"/>
        <w:bookmarkEnd w:id="20"/>
        <w:bookmarkEnd w:id="21"/>
        <m:r>
          <w:rPr>
            <w:rFonts w:ascii="Cambria Math" w:hAnsi="Cambria Math" w:cs="Arial"/>
            <w:sz w:val="18"/>
            <w:szCs w:val="18"/>
            <w:lang w:val="en-US"/>
          </w:rPr>
          <m:t>=λ</m:t>
        </m:r>
        <m:f>
          <m:fPr>
            <m:ctrlPr>
              <w:rPr>
                <w:rFonts w:ascii="Cambria Math" w:hAnsi="Cambria Math" w:cs="Arial"/>
                <w:sz w:val="18"/>
                <w:szCs w:val="18"/>
                <w:lang w:val="en-US"/>
              </w:rPr>
            </m:ctrlPr>
          </m:fPr>
          <m:num>
            <m:r>
              <w:rPr>
                <w:rFonts w:ascii="Cambria Math" w:hAnsi="Cambria Math" w:cs="Arial"/>
                <w:sz w:val="18"/>
                <w:szCs w:val="18"/>
                <w:lang w:val="en-US"/>
              </w:rPr>
              <m:t>L</m:t>
            </m:r>
          </m:num>
          <m:den>
            <m:r>
              <w:rPr>
                <w:rFonts w:ascii="Cambria Math" w:hAnsi="Cambria Math" w:cs="Arial"/>
                <w:sz w:val="18"/>
                <w:szCs w:val="18"/>
                <w:lang w:val="en-US"/>
              </w:rPr>
              <m:t>D</m:t>
            </m:r>
          </m:den>
        </m:f>
        <m:f>
          <m:fPr>
            <m:ctrlPr>
              <w:rPr>
                <w:rFonts w:ascii="Cambria Math" w:hAnsi="Cambria Math" w:cs="Arial"/>
                <w:sz w:val="18"/>
                <w:szCs w:val="18"/>
                <w:lang w:val="en-US"/>
              </w:rPr>
            </m:ctrlPr>
          </m:fPr>
          <m:num>
            <m:sSup>
              <m:sSupPr>
                <m:ctrlPr>
                  <w:rPr>
                    <w:rFonts w:ascii="Cambria Math" w:hAnsi="Cambria Math" w:cs="Arial"/>
                    <w:sz w:val="18"/>
                    <w:szCs w:val="18"/>
                    <w:lang w:val="en-US"/>
                  </w:rPr>
                </m:ctrlPr>
              </m:sSupPr>
              <m:e>
                <m:r>
                  <w:rPr>
                    <w:rFonts w:ascii="Cambria Math" w:hAnsi="Cambria Math" w:cs="Arial"/>
                    <w:sz w:val="18"/>
                    <w:szCs w:val="18"/>
                    <w:lang w:val="en-US"/>
                  </w:rPr>
                  <m:t>v</m:t>
                </m:r>
              </m:e>
              <m:sup>
                <m:r>
                  <w:rPr>
                    <w:rFonts w:ascii="Cambria Math" w:hAnsi="Cambria Math" w:cs="Arial"/>
                    <w:sz w:val="18"/>
                    <w:szCs w:val="18"/>
                    <w:lang w:val="en-US"/>
                  </w:rPr>
                  <m:t>2</m:t>
                </m:r>
              </m:sup>
            </m:sSup>
          </m:num>
          <m:den>
            <m:r>
              <w:rPr>
                <w:rFonts w:ascii="Cambria Math" w:hAnsi="Cambria Math" w:cs="Arial"/>
                <w:sz w:val="18"/>
                <w:szCs w:val="18"/>
                <w:lang w:val="en-US"/>
              </w:rPr>
              <m:t>2g</m:t>
            </m:r>
          </m:den>
        </m:f>
      </m:oMath>
      <w:r w:rsidR="00402945">
        <w:rPr>
          <w:rFonts w:cs="Arial"/>
          <w:sz w:val="18"/>
          <w:szCs w:val="18"/>
          <w:lang w:val="en-US"/>
        </w:rPr>
        <w:t xml:space="preserve">  </w:t>
      </w:r>
      <w:r w:rsidR="00402945">
        <w:rPr>
          <w:rFonts w:cs="Arial"/>
          <w:sz w:val="18"/>
          <w:szCs w:val="18"/>
          <w:lang w:val="en-US"/>
        </w:rPr>
        <w:tab/>
      </w:r>
      <w:r w:rsidR="00402945">
        <w:rPr>
          <w:rFonts w:cs="Arial"/>
          <w:sz w:val="18"/>
          <w:szCs w:val="18"/>
          <w:lang w:val="en-US"/>
        </w:rPr>
        <w:tab/>
      </w:r>
      <w:r w:rsidR="00402945">
        <w:rPr>
          <w:rFonts w:cs="Arial"/>
          <w:sz w:val="18"/>
          <w:szCs w:val="18"/>
          <w:lang w:val="en-US"/>
        </w:rPr>
        <w:tab/>
      </w:r>
      <w:r w:rsidR="00402945">
        <w:rPr>
          <w:rFonts w:cs="Arial"/>
          <w:sz w:val="18"/>
          <w:szCs w:val="18"/>
          <w:lang w:val="en-US"/>
        </w:rPr>
        <w:tab/>
      </w:r>
      <w:r w:rsidR="00402945">
        <w:rPr>
          <w:rFonts w:cs="Arial"/>
          <w:sz w:val="18"/>
          <w:szCs w:val="18"/>
          <w:lang w:val="en-US"/>
        </w:rPr>
        <w:tab/>
      </w:r>
      <w:r w:rsidR="00402945" w:rsidRPr="001661C8">
        <w:rPr>
          <w:rFonts w:cs="Arial"/>
          <w:sz w:val="18"/>
          <w:szCs w:val="18"/>
          <w:lang w:val="en-US"/>
        </w:rPr>
        <w:t xml:space="preserve">(7) </w:t>
      </w:r>
    </w:p>
    <w:p w14:paraId="4241F25C" w14:textId="583630D6" w:rsidR="00D652C4" w:rsidRDefault="001F5D55" w:rsidP="00A7162F">
      <w:pPr>
        <w:pStyle w:val="CETBodytext"/>
      </w:pPr>
      <w:r w:rsidRPr="001F5D55">
        <w:t>The epoxy coating reduces the friction factor (λ), thereby decreasing hydraulic losses and improving pump efficiency. At Re ≈ 10⁶, the smoother coated surface becomes particularly important because wall roughness strongly influences turbulent hydraulic resistance.</w:t>
      </w:r>
      <w:r w:rsidR="00417473">
        <w:rPr>
          <w:lang w:val="uz-Cyrl-UZ"/>
        </w:rPr>
        <w:t xml:space="preserve"> </w:t>
      </w:r>
      <w:r w:rsidR="00D652C4" w:rsidRPr="00D652C4">
        <w:t xml:space="preserve">The durability results also indicate an advantage of the epoxy </w:t>
      </w:r>
      <w:r w:rsidR="00D652C4" w:rsidRPr="00D652C4">
        <w:lastRenderedPageBreak/>
        <w:t>composite over the conventional cement-based protection. The cement-based coating provided only a limited improvement in service life under the investigated conditions, whereas the epoxy coating reduced erosion by 30–40%. This reduction indicates a substantially lower rate of coating and substrate degradation. However, the present study did not include a complete long-term service-life test under identical operating conditions; therefore, an absolute service-life ratio between epoxy and cement-based coatings cannot yet be established. Long-term industrial durability testing will be considered in further studies.</w:t>
      </w:r>
    </w:p>
    <w:p w14:paraId="545D273E" w14:textId="18116985" w:rsidR="003F0346" w:rsidRPr="003F0346" w:rsidRDefault="008A00F6" w:rsidP="00C13160">
      <w:pPr>
        <w:pStyle w:val="CETHeading1"/>
        <w:spacing w:before="120"/>
      </w:pPr>
      <w:bookmarkStart w:id="22" w:name="_GoBack"/>
      <w:r>
        <w:t>Discussion</w:t>
      </w:r>
    </w:p>
    <w:bookmarkEnd w:id="22"/>
    <w:p w14:paraId="359275C6" w14:textId="000C7174" w:rsidR="00825694" w:rsidRDefault="00825694" w:rsidP="00A7162F">
      <w:pPr>
        <w:pStyle w:val="CETBodytext"/>
      </w:pPr>
      <w:r w:rsidRPr="00825694">
        <w:t>The results demonstrate that coating performance is governed by the coupled effects of material resistance and surface-induced hydrodynamics. Under the fully turbulent conditions observed in the pump (Re ≈ 10⁶), surface roughness strongly influences the friction factor and consequently hydraulic losses. The smoother epoxy surface simultaneously reduces particle-induced erosion and wall resistance, while the more uniform pressure distribution decreases the tendency for cavitation inception. Thus, the polymer coating acts not only as a protective layer but also as a means of hydrodynamic optimization.</w:t>
      </w:r>
    </w:p>
    <w:p w14:paraId="2BA1E9DB" w14:textId="6343BE63" w:rsidR="00706164" w:rsidRDefault="002420F7" w:rsidP="00C13160">
      <w:pPr>
        <w:pStyle w:val="CETHeading1"/>
        <w:spacing w:before="120"/>
      </w:pPr>
      <w:r>
        <w:t>Conclusion</w:t>
      </w:r>
    </w:p>
    <w:p w14:paraId="44FE6E6F" w14:textId="5B3FFC92" w:rsidR="00155212" w:rsidRDefault="00155212" w:rsidP="004E747A">
      <w:pPr>
        <w:pStyle w:val="CETBodytext"/>
      </w:pPr>
      <w:r w:rsidRPr="00155212">
        <w:t>This study demonstrated the combined protective and hydrodynamic effects of an epoxy composite coating on centrifugal pumps operating with abrasive two-phase flows. At velocities of 5–6 m/s and Re ≈ 10⁶, surface roughness significantly influenced hydraulic losses. The epoxy coating reduced erosion by 30–40%, while its smoother surface decreased flow resistance and increased pump efficiency from approximately 0.68 to 0.74. FTIR, SEM and UV–Vis analyses confirmed a stable cross-linked structure and uniform filler dispersion. CFD results further showed reduced low-pressure regions and delayed cavitation inception. The proposed epoxy composite therefore provides a practical approach for simultaneously improving erosion resistance, hydraulic performance and pump durability.</w:t>
      </w:r>
    </w:p>
    <w:p w14:paraId="6966BA84" w14:textId="702DD349" w:rsidR="00706164" w:rsidRDefault="000A054E" w:rsidP="00624D4C">
      <w:pPr>
        <w:pStyle w:val="CETReference"/>
        <w:rPr>
          <w:lang w:val="en-US"/>
        </w:rPr>
      </w:pPr>
      <w:r w:rsidRPr="000A054E">
        <w:rPr>
          <w:lang w:val="en-US"/>
        </w:rPr>
        <w:t>References</w:t>
      </w:r>
    </w:p>
    <w:p w14:paraId="169C6B55" w14:textId="391CD89D" w:rsidR="002272CE" w:rsidRPr="004E747A" w:rsidRDefault="002272CE" w:rsidP="005A4E9C">
      <w:pPr>
        <w:pStyle w:val="CETReference"/>
        <w:numPr>
          <w:ilvl w:val="0"/>
          <w:numId w:val="24"/>
        </w:numPr>
        <w:tabs>
          <w:tab w:val="left" w:pos="284"/>
        </w:tabs>
        <w:spacing w:before="0" w:after="0"/>
        <w:ind w:left="0" w:firstLine="0"/>
        <w:jc w:val="both"/>
        <w:rPr>
          <w:b w:val="0"/>
        </w:rPr>
      </w:pPr>
      <w:r w:rsidRPr="004E747A">
        <w:rPr>
          <w:b w:val="0"/>
        </w:rPr>
        <w:t>Arabnejad H., Shirazi S.A., McLaury B.S., 2021, CFD-based erosion prediction in slurry flows considering particle–wall interactions, Wear, 476, 203653.</w:t>
      </w:r>
    </w:p>
    <w:p w14:paraId="4E2580EF" w14:textId="6CAD3637" w:rsidR="002272CE" w:rsidRPr="004E747A" w:rsidRDefault="002272CE" w:rsidP="005A4E9C">
      <w:pPr>
        <w:pStyle w:val="CETReference"/>
        <w:numPr>
          <w:ilvl w:val="0"/>
          <w:numId w:val="24"/>
        </w:numPr>
        <w:tabs>
          <w:tab w:val="left" w:pos="284"/>
        </w:tabs>
        <w:spacing w:before="0" w:after="0"/>
        <w:ind w:left="0" w:firstLine="0"/>
        <w:jc w:val="both"/>
        <w:rPr>
          <w:b w:val="0"/>
        </w:rPr>
      </w:pPr>
      <w:r w:rsidRPr="004E747A">
        <w:rPr>
          <w:b w:val="0"/>
        </w:rPr>
        <w:t>Brennen C.E., 2013, Cavitation and Bubble Dynamics, Cambridge University Press, Cambridge, UK.</w:t>
      </w:r>
    </w:p>
    <w:p w14:paraId="3EA2DD35" w14:textId="4A2F6E57" w:rsidR="002272CE" w:rsidRPr="004E747A" w:rsidRDefault="002272CE" w:rsidP="005A4E9C">
      <w:pPr>
        <w:pStyle w:val="CETReference"/>
        <w:numPr>
          <w:ilvl w:val="0"/>
          <w:numId w:val="24"/>
        </w:numPr>
        <w:tabs>
          <w:tab w:val="left" w:pos="284"/>
        </w:tabs>
        <w:spacing w:before="0" w:after="0"/>
        <w:ind w:left="0" w:firstLine="0"/>
        <w:jc w:val="both"/>
        <w:rPr>
          <w:b w:val="0"/>
        </w:rPr>
      </w:pPr>
      <w:r w:rsidRPr="004E747A">
        <w:rPr>
          <w:b w:val="0"/>
        </w:rPr>
        <w:t>Finnie I., 1960, Erosion of surfaces by solid particles, Wear, 3, 87–103.</w:t>
      </w:r>
    </w:p>
    <w:p w14:paraId="5652A82F" w14:textId="78115001" w:rsidR="002272CE" w:rsidRPr="004E747A" w:rsidRDefault="002272CE" w:rsidP="005A4E9C">
      <w:pPr>
        <w:pStyle w:val="CETReference"/>
        <w:numPr>
          <w:ilvl w:val="0"/>
          <w:numId w:val="24"/>
        </w:numPr>
        <w:tabs>
          <w:tab w:val="left" w:pos="284"/>
        </w:tabs>
        <w:spacing w:before="0" w:after="0"/>
        <w:ind w:left="0" w:firstLine="0"/>
        <w:jc w:val="both"/>
        <w:rPr>
          <w:b w:val="0"/>
        </w:rPr>
      </w:pPr>
      <w:r w:rsidRPr="004E747A">
        <w:rPr>
          <w:b w:val="0"/>
        </w:rPr>
        <w:t>Hutchings I.M., 1992, Tribology: Friction and Wear of Engineering Materials, Edward Arnold, London, UK.</w:t>
      </w:r>
    </w:p>
    <w:p w14:paraId="093869CE" w14:textId="3BAC9617" w:rsidR="002272CE" w:rsidRPr="004E747A" w:rsidRDefault="002272CE" w:rsidP="005A4E9C">
      <w:pPr>
        <w:pStyle w:val="CETReference"/>
        <w:numPr>
          <w:ilvl w:val="0"/>
          <w:numId w:val="24"/>
        </w:numPr>
        <w:tabs>
          <w:tab w:val="left" w:pos="284"/>
        </w:tabs>
        <w:spacing w:before="0" w:after="0"/>
        <w:ind w:left="0" w:firstLine="0"/>
        <w:jc w:val="both"/>
        <w:rPr>
          <w:b w:val="0"/>
        </w:rPr>
      </w:pPr>
      <w:r w:rsidRPr="004E747A">
        <w:rPr>
          <w:b w:val="0"/>
        </w:rPr>
        <w:t>Liu X., Wang Y., Chen H., 2022, Effect of surface roughness on turbulent flow and energy losses in pipeline systems, Chemical Engineering Research and Design, 180, 45–56.</w:t>
      </w:r>
    </w:p>
    <w:p w14:paraId="2CB5BABC" w14:textId="02D634F9" w:rsidR="002272CE" w:rsidRPr="004E747A" w:rsidRDefault="002272CE" w:rsidP="005A4E9C">
      <w:pPr>
        <w:pStyle w:val="CETReference"/>
        <w:numPr>
          <w:ilvl w:val="0"/>
          <w:numId w:val="24"/>
        </w:numPr>
        <w:tabs>
          <w:tab w:val="left" w:pos="284"/>
        </w:tabs>
        <w:spacing w:before="0" w:after="0"/>
        <w:ind w:left="0" w:firstLine="0"/>
        <w:jc w:val="both"/>
        <w:rPr>
          <w:b w:val="0"/>
        </w:rPr>
      </w:pPr>
      <w:r w:rsidRPr="004E747A">
        <w:rPr>
          <w:b w:val="0"/>
        </w:rPr>
        <w:t>Neville A., Wang C., 2009, Erosion–corrosion of engineering materials, Wear, 267, 195–203.</w:t>
      </w:r>
    </w:p>
    <w:p w14:paraId="1826A7B0" w14:textId="5381B52E" w:rsidR="002272CE" w:rsidRPr="004E747A" w:rsidRDefault="002272CE" w:rsidP="005A4E9C">
      <w:pPr>
        <w:pStyle w:val="CETReference"/>
        <w:numPr>
          <w:ilvl w:val="0"/>
          <w:numId w:val="24"/>
        </w:numPr>
        <w:tabs>
          <w:tab w:val="left" w:pos="284"/>
        </w:tabs>
        <w:spacing w:before="0" w:after="0"/>
        <w:ind w:left="0" w:firstLine="0"/>
        <w:jc w:val="both"/>
        <w:rPr>
          <w:b w:val="0"/>
        </w:rPr>
      </w:pPr>
      <w:r w:rsidRPr="004E747A">
        <w:rPr>
          <w:b w:val="0"/>
        </w:rPr>
        <w:t>Oka Y., Okamura K., Yoshida T., 2005, Practical estimation of erosion damage caused by solid particle impact, Wear, 259, 95–101.</w:t>
      </w:r>
    </w:p>
    <w:p w14:paraId="5DADBB36" w14:textId="6FD038E8" w:rsidR="002272CE" w:rsidRPr="004E747A" w:rsidRDefault="002272CE" w:rsidP="005A4E9C">
      <w:pPr>
        <w:pStyle w:val="CETReference"/>
        <w:numPr>
          <w:ilvl w:val="0"/>
          <w:numId w:val="24"/>
        </w:numPr>
        <w:tabs>
          <w:tab w:val="left" w:pos="284"/>
        </w:tabs>
        <w:spacing w:before="0" w:after="0"/>
        <w:ind w:left="0" w:firstLine="0"/>
        <w:jc w:val="both"/>
        <w:rPr>
          <w:b w:val="0"/>
        </w:rPr>
      </w:pPr>
      <w:r w:rsidRPr="004E747A">
        <w:rPr>
          <w:b w:val="0"/>
        </w:rPr>
        <w:t>Schlichting H., Gersten K., 2017, Boundary-Layer Theory, Springer, Berlin, Germany.</w:t>
      </w:r>
    </w:p>
    <w:p w14:paraId="67D6420C" w14:textId="7C880A3A" w:rsidR="002272CE" w:rsidRPr="004E747A" w:rsidRDefault="002272CE" w:rsidP="005A4E9C">
      <w:pPr>
        <w:pStyle w:val="CETReference"/>
        <w:numPr>
          <w:ilvl w:val="0"/>
          <w:numId w:val="24"/>
        </w:numPr>
        <w:tabs>
          <w:tab w:val="left" w:pos="284"/>
        </w:tabs>
        <w:spacing w:before="0" w:after="0"/>
        <w:ind w:left="0" w:firstLine="0"/>
        <w:jc w:val="both"/>
        <w:rPr>
          <w:b w:val="0"/>
        </w:rPr>
      </w:pPr>
      <w:r w:rsidRPr="004E747A">
        <w:rPr>
          <w:b w:val="0"/>
        </w:rPr>
        <w:t>White F.M., 2011, Fluid Mechanics, McGraw-Hill, New York, USA.</w:t>
      </w:r>
    </w:p>
    <w:p w14:paraId="121AFDE4" w14:textId="79098714" w:rsidR="002272CE" w:rsidRPr="004E747A" w:rsidRDefault="002272CE" w:rsidP="005A4E9C">
      <w:pPr>
        <w:pStyle w:val="CETReference"/>
        <w:numPr>
          <w:ilvl w:val="0"/>
          <w:numId w:val="24"/>
        </w:numPr>
        <w:tabs>
          <w:tab w:val="left" w:pos="284"/>
        </w:tabs>
        <w:spacing w:before="0" w:after="0"/>
        <w:ind w:left="0" w:firstLine="0"/>
        <w:jc w:val="both"/>
        <w:rPr>
          <w:b w:val="0"/>
        </w:rPr>
      </w:pPr>
      <w:r w:rsidRPr="004E747A">
        <w:rPr>
          <w:b w:val="0"/>
        </w:rPr>
        <w:t>Zhang Y., Reuterfors E.P., McLaury B.S., Shirazi S.A., 2007, Comparison of erosion models for slurry flows, Wear, 263, 109–117.</w:t>
      </w:r>
    </w:p>
    <w:p w14:paraId="1E1F5434" w14:textId="308ABF5D" w:rsidR="002272CE" w:rsidRDefault="002272CE" w:rsidP="005A4E9C">
      <w:pPr>
        <w:pStyle w:val="CETReference"/>
        <w:numPr>
          <w:ilvl w:val="0"/>
          <w:numId w:val="24"/>
        </w:numPr>
        <w:tabs>
          <w:tab w:val="left" w:pos="284"/>
        </w:tabs>
        <w:spacing w:before="0" w:after="0"/>
        <w:ind w:left="0" w:firstLine="0"/>
        <w:jc w:val="both"/>
        <w:rPr>
          <w:b w:val="0"/>
        </w:rPr>
      </w:pPr>
      <w:r w:rsidRPr="004E747A">
        <w:rPr>
          <w:b w:val="0"/>
        </w:rPr>
        <w:t>Zhou Y., Zhang J., Liu Y., 2020, Experimental investigation of cavitation erosion resistance of polymer coatings, Surface and Coatings Technology, 385, 125420.</w:t>
      </w:r>
    </w:p>
    <w:p w14:paraId="7C82839C" w14:textId="78024DEE" w:rsidR="00455346" w:rsidRDefault="00455346" w:rsidP="005A4E9C">
      <w:pPr>
        <w:pStyle w:val="CETReference"/>
        <w:numPr>
          <w:ilvl w:val="0"/>
          <w:numId w:val="24"/>
        </w:numPr>
        <w:tabs>
          <w:tab w:val="left" w:pos="284"/>
        </w:tabs>
        <w:spacing w:before="0" w:after="0"/>
        <w:ind w:left="0" w:firstLine="0"/>
        <w:jc w:val="both"/>
        <w:rPr>
          <w:b w:val="0"/>
        </w:rPr>
      </w:pPr>
      <w:r w:rsidRPr="00455346">
        <w:rPr>
          <w:b w:val="0"/>
        </w:rPr>
        <w:t>Kakharov, B. B., Mukhamedgaliev, B. A., Chorshanbiev, U. R., &amp; Makhkamov, U. R. (2023). Development of efficient additives for lubricants from secondary resources. PROBLEMS IN THE TEXTILE AND LIGHT INDUSTRY IN THE CONTEXT OF INTEGRATION OF SCIENCE AND INDUSTRY AND WAYS TO SOLVE THEM:(PTLICISIWS-2022), 2789(1), 040092.</w:t>
      </w:r>
    </w:p>
    <w:p w14:paraId="11220B8E" w14:textId="25CD61D6" w:rsidR="0078661F" w:rsidRDefault="0078661F" w:rsidP="005A4E9C">
      <w:pPr>
        <w:pStyle w:val="CETReference"/>
        <w:numPr>
          <w:ilvl w:val="0"/>
          <w:numId w:val="24"/>
        </w:numPr>
        <w:tabs>
          <w:tab w:val="left" w:pos="284"/>
        </w:tabs>
        <w:spacing w:before="0" w:after="0"/>
        <w:ind w:left="0" w:firstLine="0"/>
        <w:jc w:val="both"/>
        <w:rPr>
          <w:b w:val="0"/>
        </w:rPr>
      </w:pPr>
      <w:bookmarkStart w:id="23" w:name="OLE_LINK3"/>
      <w:bookmarkStart w:id="24" w:name="OLE_LINK6"/>
      <w:r w:rsidRPr="0078661F">
        <w:rPr>
          <w:b w:val="0"/>
        </w:rPr>
        <w:t>Bakhramov, U.</w:t>
      </w:r>
      <w:bookmarkEnd w:id="23"/>
      <w:bookmarkEnd w:id="24"/>
      <w:r w:rsidRPr="0078661F">
        <w:rPr>
          <w:b w:val="0"/>
        </w:rPr>
        <w:t>, Kakharov, B. B., &amp; Obidzhonov, A. J. (2022, June). Simulation of consumption processes of a target product in engineering networks. In AIP Conference Proceedings (Vol. 2432, No. 1, p. 030079). AIP Publishing LLC.</w:t>
      </w:r>
    </w:p>
    <w:p w14:paraId="4B4CCF90" w14:textId="07CAAE47" w:rsidR="00B141DF" w:rsidRDefault="00B141DF" w:rsidP="005A4E9C">
      <w:pPr>
        <w:pStyle w:val="CETReference"/>
        <w:numPr>
          <w:ilvl w:val="0"/>
          <w:numId w:val="24"/>
        </w:numPr>
        <w:tabs>
          <w:tab w:val="left" w:pos="284"/>
        </w:tabs>
        <w:spacing w:before="0" w:after="0"/>
        <w:ind w:left="0" w:firstLine="0"/>
        <w:jc w:val="both"/>
        <w:rPr>
          <w:b w:val="0"/>
        </w:rPr>
      </w:pPr>
      <w:r w:rsidRPr="00B141DF">
        <w:rPr>
          <w:b w:val="0"/>
        </w:rPr>
        <w:t>Babaev, A., Teshabaeva, E., Obidjonov, A., &amp; Chorshanbiev, U. (2023). Study of the hydraulic parameters of the flow of solid particles in the process of hydrotransport. In E3S Web of Conferences (Vol. 401, p. 03034). EDP Sciences.</w:t>
      </w:r>
    </w:p>
    <w:p w14:paraId="485DD7E1" w14:textId="5BAA8590" w:rsidR="00290FB4" w:rsidRDefault="00290FB4" w:rsidP="005A4E9C">
      <w:pPr>
        <w:pStyle w:val="CETReference"/>
        <w:numPr>
          <w:ilvl w:val="0"/>
          <w:numId w:val="24"/>
        </w:numPr>
        <w:tabs>
          <w:tab w:val="left" w:pos="284"/>
        </w:tabs>
        <w:spacing w:before="0" w:after="0"/>
        <w:ind w:left="0" w:firstLine="0"/>
        <w:jc w:val="both"/>
        <w:rPr>
          <w:b w:val="0"/>
        </w:rPr>
      </w:pPr>
      <w:bookmarkStart w:id="25" w:name="OLE_LINK7"/>
      <w:r w:rsidRPr="00290FB4">
        <w:rPr>
          <w:b w:val="0"/>
        </w:rPr>
        <w:t>Jouhara</w:t>
      </w:r>
      <w:bookmarkEnd w:id="25"/>
      <w:r w:rsidRPr="00290FB4">
        <w:rPr>
          <w:b w:val="0"/>
        </w:rPr>
        <w:t>, H., Fadhl, B., &amp; Wrobel, L. C. (2016). Three-dimensional CFD simulation of geyser boiling in a two-phase closed thermosyphon. International Journal of Hydrog</w:t>
      </w:r>
      <w:r w:rsidR="0032577C">
        <w:rPr>
          <w:b w:val="0"/>
        </w:rPr>
        <w:t>en Energy, 41(37), 16463–16476.</w:t>
      </w:r>
    </w:p>
    <w:p w14:paraId="4DFC056F" w14:textId="52FB8AA3" w:rsidR="0032577C" w:rsidRDefault="0032577C" w:rsidP="005A4E9C">
      <w:pPr>
        <w:pStyle w:val="CETReference"/>
        <w:numPr>
          <w:ilvl w:val="0"/>
          <w:numId w:val="24"/>
        </w:numPr>
        <w:tabs>
          <w:tab w:val="left" w:pos="284"/>
        </w:tabs>
        <w:spacing w:before="0" w:after="0"/>
        <w:ind w:left="0" w:firstLine="0"/>
        <w:jc w:val="both"/>
        <w:rPr>
          <w:b w:val="0"/>
        </w:rPr>
      </w:pPr>
      <w:r w:rsidRPr="0032577C">
        <w:rPr>
          <w:b w:val="0"/>
        </w:rPr>
        <w:t>Chorshanbiev, U., Ibadullaev, A., Babaev, A., &amp; Kaxarov, B. (2023). Study of the motion of modified solid particles in hydratransport systems. In E3S Web of Conferences (Vol. 401, p. 03027). EDP Sciences.</w:t>
      </w:r>
    </w:p>
    <w:p w14:paraId="5E3E8713" w14:textId="1A82DBA7" w:rsidR="00ED0AFC" w:rsidRDefault="00ED0AFC" w:rsidP="005A4E9C">
      <w:pPr>
        <w:pStyle w:val="CETReference"/>
        <w:numPr>
          <w:ilvl w:val="0"/>
          <w:numId w:val="24"/>
        </w:numPr>
        <w:tabs>
          <w:tab w:val="left" w:pos="284"/>
        </w:tabs>
        <w:spacing w:before="0" w:after="0"/>
        <w:ind w:left="0" w:firstLine="0"/>
        <w:jc w:val="both"/>
        <w:rPr>
          <w:b w:val="0"/>
        </w:rPr>
      </w:pPr>
      <w:r w:rsidRPr="00ED0AFC">
        <w:rPr>
          <w:b w:val="0"/>
        </w:rPr>
        <w:t>Capricho, J. C., Fox, B., &amp; Hameed, N. (2020, January 2). Multifunctionality in Epoxy Resins. Polymer Reviews. Taylor and Francis Inc.</w:t>
      </w:r>
    </w:p>
    <w:p w14:paraId="2B1A1008" w14:textId="0A9D19B3" w:rsidR="00407C60" w:rsidRPr="004E747A" w:rsidRDefault="00407C60" w:rsidP="005A4E9C">
      <w:pPr>
        <w:pStyle w:val="CETReference"/>
        <w:numPr>
          <w:ilvl w:val="0"/>
          <w:numId w:val="24"/>
        </w:numPr>
        <w:tabs>
          <w:tab w:val="left" w:pos="284"/>
        </w:tabs>
        <w:spacing w:before="0" w:after="0"/>
        <w:ind w:left="0" w:firstLine="0"/>
        <w:jc w:val="both"/>
        <w:rPr>
          <w:b w:val="0"/>
        </w:rPr>
      </w:pPr>
      <w:r w:rsidRPr="00407C60">
        <w:rPr>
          <w:b w:val="0"/>
        </w:rPr>
        <w:t xml:space="preserve">Shermukhamedov, U., Abdullaev, A., &amp; Svezhentsev, D. (2025, July). Modeling of stress-strain state of reinforced soil abutments of continuous monolithic road bridge. In AIP Conference Proceedings (Vol. 3256, No. 1, p. 030031). AIP Publishing LLC.  </w:t>
      </w:r>
    </w:p>
    <w:sectPr w:rsidR="00407C60" w:rsidRPr="004E747A"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D6C38F" w14:textId="77777777" w:rsidR="00943E75" w:rsidRDefault="00943E75" w:rsidP="004F5E36">
      <w:r>
        <w:separator/>
      </w:r>
    </w:p>
  </w:endnote>
  <w:endnote w:type="continuationSeparator" w:id="0">
    <w:p w14:paraId="249899AE" w14:textId="77777777" w:rsidR="00943E75" w:rsidRDefault="00943E75"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EB8D10" w14:textId="77777777" w:rsidR="00943E75" w:rsidRDefault="00943E75" w:rsidP="004F5E36">
      <w:r>
        <w:separator/>
      </w:r>
    </w:p>
  </w:footnote>
  <w:footnote w:type="continuationSeparator" w:id="0">
    <w:p w14:paraId="5A1CB8EE" w14:textId="77777777" w:rsidR="00943E75" w:rsidRDefault="00943E75" w:rsidP="004F5E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58AF1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365AA47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sz w:val="18"/>
      </w:rPr>
    </w:lvl>
    <w:lvl w:ilvl="2">
      <w:start w:val="1"/>
      <w:numFmt w:val="decimal"/>
      <w:pStyle w:val="CETheadingx"/>
      <w:suff w:val="space"/>
      <w:lvlText w:val="%2.%3"/>
      <w:lvlJc w:val="left"/>
      <w:pPr>
        <w:ind w:left="0" w:firstLine="0"/>
      </w:pPr>
      <w:rPr>
        <w:rFonts w:hint="default"/>
      </w:rPr>
    </w:lvl>
    <w:lvl w:ilvl="3">
      <w:start w:val="1"/>
      <w:numFmt w:val="decimal"/>
      <w:pStyle w:val="1"/>
      <w:suff w:val="space"/>
      <w:lvlText w:val="%2.%3.%4."/>
      <w:lvlJc w:val="left"/>
      <w:pPr>
        <w:ind w:left="0" w:firstLine="0"/>
      </w:pPr>
      <w:rPr>
        <w:rFonts w:ascii="Arial" w:hAnsi="Arial" w:cs="Arial" w:hint="default"/>
        <w:b/>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8"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B3A5B12"/>
    <w:multiLevelType w:val="hybridMultilevel"/>
    <w:tmpl w:val="134816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E9746B9"/>
    <w:multiLevelType w:val="hybridMultilevel"/>
    <w:tmpl w:val="F9DAB5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7"/>
  </w:num>
  <w:num w:numId="13">
    <w:abstractNumId w:val="12"/>
  </w:num>
  <w:num w:numId="14">
    <w:abstractNumId w:val="18"/>
  </w:num>
  <w:num w:numId="15">
    <w:abstractNumId w:val="20"/>
  </w:num>
  <w:num w:numId="16">
    <w:abstractNumId w:val="19"/>
  </w:num>
  <w:num w:numId="17">
    <w:abstractNumId w:val="11"/>
  </w:num>
  <w:num w:numId="18">
    <w:abstractNumId w:val="12"/>
    <w:lvlOverride w:ilvl="0">
      <w:startOverride w:val="1"/>
    </w:lvlOverride>
  </w:num>
  <w:num w:numId="19">
    <w:abstractNumId w:val="16"/>
  </w:num>
  <w:num w:numId="20">
    <w:abstractNumId w:val="15"/>
  </w:num>
  <w:num w:numId="21">
    <w:abstractNumId w:val="14"/>
  </w:num>
  <w:num w:numId="22">
    <w:abstractNumId w:val="13"/>
  </w:num>
  <w:num w:numId="23">
    <w:abstractNumId w:val="22"/>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884"/>
    <w:rsid w:val="00005A19"/>
    <w:rsid w:val="000117CB"/>
    <w:rsid w:val="000173F9"/>
    <w:rsid w:val="0003148D"/>
    <w:rsid w:val="00031EEC"/>
    <w:rsid w:val="00051566"/>
    <w:rsid w:val="000562A9"/>
    <w:rsid w:val="00061F71"/>
    <w:rsid w:val="00062A9A"/>
    <w:rsid w:val="00065058"/>
    <w:rsid w:val="00073DB5"/>
    <w:rsid w:val="0008535E"/>
    <w:rsid w:val="00085F70"/>
    <w:rsid w:val="00086C39"/>
    <w:rsid w:val="0009589B"/>
    <w:rsid w:val="00095B73"/>
    <w:rsid w:val="000A03B2"/>
    <w:rsid w:val="000A054E"/>
    <w:rsid w:val="000D0268"/>
    <w:rsid w:val="000D34BE"/>
    <w:rsid w:val="000E0A16"/>
    <w:rsid w:val="000E102F"/>
    <w:rsid w:val="000E36F1"/>
    <w:rsid w:val="000E3A73"/>
    <w:rsid w:val="000E414A"/>
    <w:rsid w:val="000E49E0"/>
    <w:rsid w:val="000E75FD"/>
    <w:rsid w:val="000F093C"/>
    <w:rsid w:val="000F34C6"/>
    <w:rsid w:val="000F43E8"/>
    <w:rsid w:val="000F787B"/>
    <w:rsid w:val="00101F02"/>
    <w:rsid w:val="0012091F"/>
    <w:rsid w:val="00123982"/>
    <w:rsid w:val="00124AAD"/>
    <w:rsid w:val="00126BC2"/>
    <w:rsid w:val="00127B39"/>
    <w:rsid w:val="001308B6"/>
    <w:rsid w:val="0013121F"/>
    <w:rsid w:val="00131FE6"/>
    <w:rsid w:val="0013263F"/>
    <w:rsid w:val="001331DF"/>
    <w:rsid w:val="00134DE4"/>
    <w:rsid w:val="0014034D"/>
    <w:rsid w:val="00140FE3"/>
    <w:rsid w:val="00144D16"/>
    <w:rsid w:val="00146BB1"/>
    <w:rsid w:val="00150E59"/>
    <w:rsid w:val="00151DF3"/>
    <w:rsid w:val="00152DE3"/>
    <w:rsid w:val="00155212"/>
    <w:rsid w:val="00164CF9"/>
    <w:rsid w:val="001667A6"/>
    <w:rsid w:val="00184AD6"/>
    <w:rsid w:val="00184D4E"/>
    <w:rsid w:val="00186619"/>
    <w:rsid w:val="001A4AF7"/>
    <w:rsid w:val="001B0349"/>
    <w:rsid w:val="001B1E93"/>
    <w:rsid w:val="001B2B46"/>
    <w:rsid w:val="001B65C1"/>
    <w:rsid w:val="001C260F"/>
    <w:rsid w:val="001C33F1"/>
    <w:rsid w:val="001C684B"/>
    <w:rsid w:val="001D0CFB"/>
    <w:rsid w:val="001D21AF"/>
    <w:rsid w:val="001D53FC"/>
    <w:rsid w:val="001E3870"/>
    <w:rsid w:val="001F42A5"/>
    <w:rsid w:val="001F5D55"/>
    <w:rsid w:val="001F7B9D"/>
    <w:rsid w:val="00201C93"/>
    <w:rsid w:val="002224B4"/>
    <w:rsid w:val="002257A4"/>
    <w:rsid w:val="002272CE"/>
    <w:rsid w:val="00240186"/>
    <w:rsid w:val="002420F7"/>
    <w:rsid w:val="002447EF"/>
    <w:rsid w:val="00251550"/>
    <w:rsid w:val="00255AFE"/>
    <w:rsid w:val="00263B05"/>
    <w:rsid w:val="002702F7"/>
    <w:rsid w:val="0027221A"/>
    <w:rsid w:val="00275B61"/>
    <w:rsid w:val="00280FAF"/>
    <w:rsid w:val="00282656"/>
    <w:rsid w:val="00290B41"/>
    <w:rsid w:val="00290FB4"/>
    <w:rsid w:val="00296B83"/>
    <w:rsid w:val="002A4038"/>
    <w:rsid w:val="002B1C9D"/>
    <w:rsid w:val="002B4015"/>
    <w:rsid w:val="002B78CE"/>
    <w:rsid w:val="002C0AD9"/>
    <w:rsid w:val="002C0B9A"/>
    <w:rsid w:val="002C2213"/>
    <w:rsid w:val="002C2E27"/>
    <w:rsid w:val="002C2FB6"/>
    <w:rsid w:val="002D6C30"/>
    <w:rsid w:val="002E5FA7"/>
    <w:rsid w:val="002E7B19"/>
    <w:rsid w:val="002F3309"/>
    <w:rsid w:val="003008CE"/>
    <w:rsid w:val="003009B7"/>
    <w:rsid w:val="00300E56"/>
    <w:rsid w:val="0030152C"/>
    <w:rsid w:val="0030469C"/>
    <w:rsid w:val="00321CA6"/>
    <w:rsid w:val="00323763"/>
    <w:rsid w:val="00323C5F"/>
    <w:rsid w:val="0032577C"/>
    <w:rsid w:val="00334C09"/>
    <w:rsid w:val="003375E2"/>
    <w:rsid w:val="0034415A"/>
    <w:rsid w:val="003455FF"/>
    <w:rsid w:val="00360183"/>
    <w:rsid w:val="003723D4"/>
    <w:rsid w:val="00381905"/>
    <w:rsid w:val="00384CC8"/>
    <w:rsid w:val="003871FD"/>
    <w:rsid w:val="00390C85"/>
    <w:rsid w:val="003A1E30"/>
    <w:rsid w:val="003A2829"/>
    <w:rsid w:val="003A7D1C"/>
    <w:rsid w:val="003B304B"/>
    <w:rsid w:val="003B3146"/>
    <w:rsid w:val="003D1E02"/>
    <w:rsid w:val="003D648F"/>
    <w:rsid w:val="003F015E"/>
    <w:rsid w:val="003F0346"/>
    <w:rsid w:val="003F7F85"/>
    <w:rsid w:val="00400414"/>
    <w:rsid w:val="00402945"/>
    <w:rsid w:val="00407C60"/>
    <w:rsid w:val="00410BC3"/>
    <w:rsid w:val="0041446B"/>
    <w:rsid w:val="00417473"/>
    <w:rsid w:val="00432103"/>
    <w:rsid w:val="0044071E"/>
    <w:rsid w:val="0044329C"/>
    <w:rsid w:val="00450772"/>
    <w:rsid w:val="00453E24"/>
    <w:rsid w:val="00455346"/>
    <w:rsid w:val="00457456"/>
    <w:rsid w:val="004577FE"/>
    <w:rsid w:val="00457B9C"/>
    <w:rsid w:val="0046164A"/>
    <w:rsid w:val="004628D2"/>
    <w:rsid w:val="00462DCD"/>
    <w:rsid w:val="004648AD"/>
    <w:rsid w:val="004703A9"/>
    <w:rsid w:val="00472840"/>
    <w:rsid w:val="004760DE"/>
    <w:rsid w:val="004763D7"/>
    <w:rsid w:val="00476566"/>
    <w:rsid w:val="00476D4E"/>
    <w:rsid w:val="0049087F"/>
    <w:rsid w:val="00493920"/>
    <w:rsid w:val="004965FA"/>
    <w:rsid w:val="004A004E"/>
    <w:rsid w:val="004A24CF"/>
    <w:rsid w:val="004A5E57"/>
    <w:rsid w:val="004C194F"/>
    <w:rsid w:val="004C3D1D"/>
    <w:rsid w:val="004C3D84"/>
    <w:rsid w:val="004C7913"/>
    <w:rsid w:val="004E4DD6"/>
    <w:rsid w:val="004E747A"/>
    <w:rsid w:val="004F5E36"/>
    <w:rsid w:val="005003DC"/>
    <w:rsid w:val="005077D0"/>
    <w:rsid w:val="00507B47"/>
    <w:rsid w:val="00507BEF"/>
    <w:rsid w:val="00507CC9"/>
    <w:rsid w:val="005105D7"/>
    <w:rsid w:val="005119A5"/>
    <w:rsid w:val="005278B7"/>
    <w:rsid w:val="00532016"/>
    <w:rsid w:val="00532481"/>
    <w:rsid w:val="005346C8"/>
    <w:rsid w:val="00541CF4"/>
    <w:rsid w:val="00543E7D"/>
    <w:rsid w:val="00547A68"/>
    <w:rsid w:val="00552E57"/>
    <w:rsid w:val="005531C9"/>
    <w:rsid w:val="0055494A"/>
    <w:rsid w:val="00554A91"/>
    <w:rsid w:val="005628F9"/>
    <w:rsid w:val="00570C43"/>
    <w:rsid w:val="005768F0"/>
    <w:rsid w:val="00590194"/>
    <w:rsid w:val="00592274"/>
    <w:rsid w:val="00593416"/>
    <w:rsid w:val="005A4E9C"/>
    <w:rsid w:val="005B2110"/>
    <w:rsid w:val="005B61E6"/>
    <w:rsid w:val="005C417D"/>
    <w:rsid w:val="005C77E1"/>
    <w:rsid w:val="005D30DD"/>
    <w:rsid w:val="005D668A"/>
    <w:rsid w:val="005D6A2F"/>
    <w:rsid w:val="005E0592"/>
    <w:rsid w:val="005E1012"/>
    <w:rsid w:val="005E1A82"/>
    <w:rsid w:val="005E794C"/>
    <w:rsid w:val="005F0A28"/>
    <w:rsid w:val="005F0E5E"/>
    <w:rsid w:val="005F1217"/>
    <w:rsid w:val="00600535"/>
    <w:rsid w:val="00607FFA"/>
    <w:rsid w:val="00610CD6"/>
    <w:rsid w:val="00613ACE"/>
    <w:rsid w:val="00620DEE"/>
    <w:rsid w:val="006210A6"/>
    <w:rsid w:val="00621F92"/>
    <w:rsid w:val="0062280A"/>
    <w:rsid w:val="006231E1"/>
    <w:rsid w:val="00624D4C"/>
    <w:rsid w:val="00625639"/>
    <w:rsid w:val="00631B33"/>
    <w:rsid w:val="0064184D"/>
    <w:rsid w:val="00641A16"/>
    <w:rsid w:val="00641A76"/>
    <w:rsid w:val="006422CC"/>
    <w:rsid w:val="0064477A"/>
    <w:rsid w:val="00651D18"/>
    <w:rsid w:val="00654CE6"/>
    <w:rsid w:val="00660E3E"/>
    <w:rsid w:val="00662E74"/>
    <w:rsid w:val="00664F9F"/>
    <w:rsid w:val="00673164"/>
    <w:rsid w:val="00680C23"/>
    <w:rsid w:val="00683E23"/>
    <w:rsid w:val="00693766"/>
    <w:rsid w:val="00697DB2"/>
    <w:rsid w:val="006A3281"/>
    <w:rsid w:val="006B4888"/>
    <w:rsid w:val="006C2E45"/>
    <w:rsid w:val="006C359C"/>
    <w:rsid w:val="006C5579"/>
    <w:rsid w:val="006D6E8B"/>
    <w:rsid w:val="006D7209"/>
    <w:rsid w:val="006E00E5"/>
    <w:rsid w:val="006E3C63"/>
    <w:rsid w:val="006E6B92"/>
    <w:rsid w:val="006E737D"/>
    <w:rsid w:val="006F0593"/>
    <w:rsid w:val="00700784"/>
    <w:rsid w:val="007058E5"/>
    <w:rsid w:val="00706164"/>
    <w:rsid w:val="00707DD1"/>
    <w:rsid w:val="00713973"/>
    <w:rsid w:val="00720A24"/>
    <w:rsid w:val="00721A56"/>
    <w:rsid w:val="00732386"/>
    <w:rsid w:val="0073514D"/>
    <w:rsid w:val="007447F3"/>
    <w:rsid w:val="0075499F"/>
    <w:rsid w:val="00756AA3"/>
    <w:rsid w:val="00756DCB"/>
    <w:rsid w:val="007617CC"/>
    <w:rsid w:val="00763DCC"/>
    <w:rsid w:val="00765DF0"/>
    <w:rsid w:val="007661C8"/>
    <w:rsid w:val="0077098D"/>
    <w:rsid w:val="00785BF9"/>
    <w:rsid w:val="0078661F"/>
    <w:rsid w:val="007931FA"/>
    <w:rsid w:val="00797F6F"/>
    <w:rsid w:val="007A4861"/>
    <w:rsid w:val="007A7BBA"/>
    <w:rsid w:val="007B0C50"/>
    <w:rsid w:val="007B48F9"/>
    <w:rsid w:val="007C1A43"/>
    <w:rsid w:val="007C747E"/>
    <w:rsid w:val="007D0951"/>
    <w:rsid w:val="007D1E04"/>
    <w:rsid w:val="007F27C8"/>
    <w:rsid w:val="007F5CF9"/>
    <w:rsid w:val="0080013E"/>
    <w:rsid w:val="00806CE5"/>
    <w:rsid w:val="00813288"/>
    <w:rsid w:val="008168FC"/>
    <w:rsid w:val="00821753"/>
    <w:rsid w:val="00825694"/>
    <w:rsid w:val="00830996"/>
    <w:rsid w:val="008314D7"/>
    <w:rsid w:val="008345F1"/>
    <w:rsid w:val="00843AE0"/>
    <w:rsid w:val="0085502D"/>
    <w:rsid w:val="00865B07"/>
    <w:rsid w:val="008667EA"/>
    <w:rsid w:val="00871E1B"/>
    <w:rsid w:val="0087637F"/>
    <w:rsid w:val="00892AD5"/>
    <w:rsid w:val="008A00F6"/>
    <w:rsid w:val="008A1512"/>
    <w:rsid w:val="008B695E"/>
    <w:rsid w:val="008D32B9"/>
    <w:rsid w:val="008D433B"/>
    <w:rsid w:val="008D4A16"/>
    <w:rsid w:val="008D6859"/>
    <w:rsid w:val="008E209A"/>
    <w:rsid w:val="008E45BC"/>
    <w:rsid w:val="008E566E"/>
    <w:rsid w:val="008F4271"/>
    <w:rsid w:val="009014E3"/>
    <w:rsid w:val="0090161A"/>
    <w:rsid w:val="00901EB6"/>
    <w:rsid w:val="009041F8"/>
    <w:rsid w:val="00904C62"/>
    <w:rsid w:val="009130DA"/>
    <w:rsid w:val="00916DD8"/>
    <w:rsid w:val="00922BA8"/>
    <w:rsid w:val="00924DAC"/>
    <w:rsid w:val="00926F95"/>
    <w:rsid w:val="00927058"/>
    <w:rsid w:val="00942750"/>
    <w:rsid w:val="00943E75"/>
    <w:rsid w:val="009450CE"/>
    <w:rsid w:val="009459BB"/>
    <w:rsid w:val="00947179"/>
    <w:rsid w:val="0095164B"/>
    <w:rsid w:val="00954028"/>
    <w:rsid w:val="00954090"/>
    <w:rsid w:val="009573E7"/>
    <w:rsid w:val="009578AB"/>
    <w:rsid w:val="00963E05"/>
    <w:rsid w:val="00964A45"/>
    <w:rsid w:val="00967843"/>
    <w:rsid w:val="00967D54"/>
    <w:rsid w:val="00971028"/>
    <w:rsid w:val="00985F65"/>
    <w:rsid w:val="00993B84"/>
    <w:rsid w:val="00996483"/>
    <w:rsid w:val="00996795"/>
    <w:rsid w:val="00996F5A"/>
    <w:rsid w:val="009A1F5D"/>
    <w:rsid w:val="009B041A"/>
    <w:rsid w:val="009C37C3"/>
    <w:rsid w:val="009C4EDD"/>
    <w:rsid w:val="009C7C86"/>
    <w:rsid w:val="009D2FF7"/>
    <w:rsid w:val="009D7EF0"/>
    <w:rsid w:val="009E2465"/>
    <w:rsid w:val="009E7884"/>
    <w:rsid w:val="009E788A"/>
    <w:rsid w:val="009F0E08"/>
    <w:rsid w:val="00A079AE"/>
    <w:rsid w:val="00A11BEC"/>
    <w:rsid w:val="00A1763D"/>
    <w:rsid w:val="00A17CEC"/>
    <w:rsid w:val="00A26CBB"/>
    <w:rsid w:val="00A27EF0"/>
    <w:rsid w:val="00A42361"/>
    <w:rsid w:val="00A50B20"/>
    <w:rsid w:val="00A51390"/>
    <w:rsid w:val="00A60D13"/>
    <w:rsid w:val="00A7162F"/>
    <w:rsid w:val="00A7223D"/>
    <w:rsid w:val="00A72745"/>
    <w:rsid w:val="00A73A09"/>
    <w:rsid w:val="00A76EFC"/>
    <w:rsid w:val="00A814C5"/>
    <w:rsid w:val="00A83757"/>
    <w:rsid w:val="00A87D50"/>
    <w:rsid w:val="00A91010"/>
    <w:rsid w:val="00A9386E"/>
    <w:rsid w:val="00A94E84"/>
    <w:rsid w:val="00A97F29"/>
    <w:rsid w:val="00AA702E"/>
    <w:rsid w:val="00AA7D26"/>
    <w:rsid w:val="00AB0964"/>
    <w:rsid w:val="00AB4F1A"/>
    <w:rsid w:val="00AB5011"/>
    <w:rsid w:val="00AC35F9"/>
    <w:rsid w:val="00AC637F"/>
    <w:rsid w:val="00AC64FA"/>
    <w:rsid w:val="00AC7368"/>
    <w:rsid w:val="00AD0278"/>
    <w:rsid w:val="00AD16B9"/>
    <w:rsid w:val="00AE377D"/>
    <w:rsid w:val="00AE3964"/>
    <w:rsid w:val="00AF0EBA"/>
    <w:rsid w:val="00B02C8A"/>
    <w:rsid w:val="00B057E6"/>
    <w:rsid w:val="00B06A58"/>
    <w:rsid w:val="00B141DF"/>
    <w:rsid w:val="00B15092"/>
    <w:rsid w:val="00B17FBD"/>
    <w:rsid w:val="00B315A6"/>
    <w:rsid w:val="00B31813"/>
    <w:rsid w:val="00B33365"/>
    <w:rsid w:val="00B53B11"/>
    <w:rsid w:val="00B56E89"/>
    <w:rsid w:val="00B57B36"/>
    <w:rsid w:val="00B57E6F"/>
    <w:rsid w:val="00B8686D"/>
    <w:rsid w:val="00B93F69"/>
    <w:rsid w:val="00BB1DDC"/>
    <w:rsid w:val="00BB2AB2"/>
    <w:rsid w:val="00BC30C9"/>
    <w:rsid w:val="00BC4B0B"/>
    <w:rsid w:val="00BD0154"/>
    <w:rsid w:val="00BD077D"/>
    <w:rsid w:val="00BE0AA8"/>
    <w:rsid w:val="00BE3E58"/>
    <w:rsid w:val="00C01027"/>
    <w:rsid w:val="00C01616"/>
    <w:rsid w:val="00C0162B"/>
    <w:rsid w:val="00C068ED"/>
    <w:rsid w:val="00C07C49"/>
    <w:rsid w:val="00C13160"/>
    <w:rsid w:val="00C163AE"/>
    <w:rsid w:val="00C20464"/>
    <w:rsid w:val="00C208E9"/>
    <w:rsid w:val="00C22E0C"/>
    <w:rsid w:val="00C345B1"/>
    <w:rsid w:val="00C40142"/>
    <w:rsid w:val="00C52C3C"/>
    <w:rsid w:val="00C57182"/>
    <w:rsid w:val="00C57863"/>
    <w:rsid w:val="00C6121A"/>
    <w:rsid w:val="00C61989"/>
    <w:rsid w:val="00C640AF"/>
    <w:rsid w:val="00C655FD"/>
    <w:rsid w:val="00C7164F"/>
    <w:rsid w:val="00C75407"/>
    <w:rsid w:val="00C837B8"/>
    <w:rsid w:val="00C841C6"/>
    <w:rsid w:val="00C870A8"/>
    <w:rsid w:val="00C94434"/>
    <w:rsid w:val="00CA0D75"/>
    <w:rsid w:val="00CA12B1"/>
    <w:rsid w:val="00CA1C95"/>
    <w:rsid w:val="00CA5A9C"/>
    <w:rsid w:val="00CB2614"/>
    <w:rsid w:val="00CB6A65"/>
    <w:rsid w:val="00CC4C20"/>
    <w:rsid w:val="00CD000F"/>
    <w:rsid w:val="00CD3517"/>
    <w:rsid w:val="00CD5A55"/>
    <w:rsid w:val="00CD5FE2"/>
    <w:rsid w:val="00CE7C68"/>
    <w:rsid w:val="00CF71B7"/>
    <w:rsid w:val="00D02B4C"/>
    <w:rsid w:val="00D040C4"/>
    <w:rsid w:val="00D041FE"/>
    <w:rsid w:val="00D17782"/>
    <w:rsid w:val="00D20AD1"/>
    <w:rsid w:val="00D219F2"/>
    <w:rsid w:val="00D2582C"/>
    <w:rsid w:val="00D360F2"/>
    <w:rsid w:val="00D3627C"/>
    <w:rsid w:val="00D437A4"/>
    <w:rsid w:val="00D46B7E"/>
    <w:rsid w:val="00D57C84"/>
    <w:rsid w:val="00D6057D"/>
    <w:rsid w:val="00D652C4"/>
    <w:rsid w:val="00D71640"/>
    <w:rsid w:val="00D836C5"/>
    <w:rsid w:val="00D84576"/>
    <w:rsid w:val="00DA1399"/>
    <w:rsid w:val="00DA24C6"/>
    <w:rsid w:val="00DA3470"/>
    <w:rsid w:val="00DA4D7B"/>
    <w:rsid w:val="00DA5F82"/>
    <w:rsid w:val="00DB0780"/>
    <w:rsid w:val="00DD271C"/>
    <w:rsid w:val="00DE264A"/>
    <w:rsid w:val="00DE3633"/>
    <w:rsid w:val="00DF083F"/>
    <w:rsid w:val="00DF5072"/>
    <w:rsid w:val="00E02734"/>
    <w:rsid w:val="00E02D18"/>
    <w:rsid w:val="00E041E7"/>
    <w:rsid w:val="00E043AE"/>
    <w:rsid w:val="00E06345"/>
    <w:rsid w:val="00E23CA1"/>
    <w:rsid w:val="00E409A8"/>
    <w:rsid w:val="00E40B57"/>
    <w:rsid w:val="00E46825"/>
    <w:rsid w:val="00E47D61"/>
    <w:rsid w:val="00E50C12"/>
    <w:rsid w:val="00E53995"/>
    <w:rsid w:val="00E65B91"/>
    <w:rsid w:val="00E7209D"/>
    <w:rsid w:val="00E72EAD"/>
    <w:rsid w:val="00E77223"/>
    <w:rsid w:val="00E8528B"/>
    <w:rsid w:val="00E85B94"/>
    <w:rsid w:val="00E978D0"/>
    <w:rsid w:val="00EA4613"/>
    <w:rsid w:val="00EA7F91"/>
    <w:rsid w:val="00EB1523"/>
    <w:rsid w:val="00EC0E49"/>
    <w:rsid w:val="00EC101F"/>
    <w:rsid w:val="00EC1D9F"/>
    <w:rsid w:val="00ED0AFC"/>
    <w:rsid w:val="00EE0131"/>
    <w:rsid w:val="00EE11F0"/>
    <w:rsid w:val="00EE17B0"/>
    <w:rsid w:val="00EF06D9"/>
    <w:rsid w:val="00EF0982"/>
    <w:rsid w:val="00F0016E"/>
    <w:rsid w:val="00F02ABF"/>
    <w:rsid w:val="00F04952"/>
    <w:rsid w:val="00F11B6C"/>
    <w:rsid w:val="00F126A5"/>
    <w:rsid w:val="00F20309"/>
    <w:rsid w:val="00F3049E"/>
    <w:rsid w:val="00F30C64"/>
    <w:rsid w:val="00F32BA2"/>
    <w:rsid w:val="00F32CDB"/>
    <w:rsid w:val="00F3348F"/>
    <w:rsid w:val="00F3552A"/>
    <w:rsid w:val="00F36063"/>
    <w:rsid w:val="00F37280"/>
    <w:rsid w:val="00F41EE4"/>
    <w:rsid w:val="00F565FE"/>
    <w:rsid w:val="00F63A70"/>
    <w:rsid w:val="00F63D8C"/>
    <w:rsid w:val="00F7534E"/>
    <w:rsid w:val="00F83179"/>
    <w:rsid w:val="00F85239"/>
    <w:rsid w:val="00F93EDF"/>
    <w:rsid w:val="00FA1802"/>
    <w:rsid w:val="00FA21D0"/>
    <w:rsid w:val="00FA2FE6"/>
    <w:rsid w:val="00FA5F5F"/>
    <w:rsid w:val="00FB050A"/>
    <w:rsid w:val="00FB730C"/>
    <w:rsid w:val="00FC2695"/>
    <w:rsid w:val="00FC3E03"/>
    <w:rsid w:val="00FC3FC1"/>
    <w:rsid w:val="00FD49F5"/>
    <w:rsid w:val="00FE27D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E0CC2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10">
    <w:name w:val="heading 1"/>
    <w:basedOn w:val="CETHeading1"/>
    <w:next w:val="a1"/>
    <w:link w:val="11"/>
    <w:uiPriority w:val="9"/>
    <w:rsid w:val="004F5E36"/>
    <w:pPr>
      <w:tabs>
        <w:tab w:val="clear" w:pos="360"/>
        <w:tab w:val="right" w:pos="7100"/>
      </w:tabs>
      <w:jc w:val="both"/>
      <w:outlineLvl w:val="0"/>
    </w:pPr>
    <w:rPr>
      <w:lang w:val="en-GB"/>
    </w:rPr>
  </w:style>
  <w:style w:type="paragraph" w:styleId="21">
    <w:name w:val="heading 2"/>
    <w:basedOn w:val="a1"/>
    <w:next w:val="a1"/>
    <w:link w:val="22"/>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1"/>
    <w:next w:val="a1"/>
    <w:link w:val="90"/>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1">
    <w:name w:val="Table Simple 1"/>
    <w:basedOn w:val="a3"/>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a5">
    <w:name w:val="annotation reference"/>
    <w:basedOn w:val="a2"/>
    <w:uiPriority w:val="99"/>
    <w:semiHidden/>
    <w:unhideWhenUsed/>
    <w:rsid w:val="004577FE"/>
    <w:rPr>
      <w:sz w:val="16"/>
      <w:szCs w:val="16"/>
    </w:rPr>
  </w:style>
  <w:style w:type="paragraph" w:styleId="a6">
    <w:name w:val="Balloon Text"/>
    <w:basedOn w:val="a1"/>
    <w:link w:val="a7"/>
    <w:uiPriority w:val="99"/>
    <w:semiHidden/>
    <w:unhideWhenUsed/>
    <w:rsid w:val="000D34BE"/>
    <w:pPr>
      <w:spacing w:line="240" w:lineRule="auto"/>
    </w:pPr>
    <w:rPr>
      <w:rFonts w:ascii="Tahoma" w:hAnsi="Tahoma" w:cs="Tahoma"/>
      <w:sz w:val="16"/>
      <w:szCs w:val="16"/>
    </w:rPr>
  </w:style>
  <w:style w:type="character" w:customStyle="1" w:styleId="a7">
    <w:name w:val="Текст выноски Знак"/>
    <w:basedOn w:val="a2"/>
    <w:link w:val="a6"/>
    <w:uiPriority w:val="99"/>
    <w:semiHidden/>
    <w:rsid w:val="000D34BE"/>
    <w:rPr>
      <w:rFonts w:ascii="Tahoma" w:hAnsi="Tahoma" w:cs="Tahoma"/>
      <w:sz w:val="16"/>
      <w:szCs w:val="16"/>
    </w:rPr>
  </w:style>
  <w:style w:type="paragraph" w:styleId="a8">
    <w:name w:val="Bibliography"/>
    <w:basedOn w:val="CETReferencetext"/>
    <w:uiPriority w:val="37"/>
    <w:unhideWhenUsed/>
    <w:rsid w:val="00631B33"/>
    <w:pPr>
      <w:spacing w:line="240" w:lineRule="auto"/>
      <w:ind w:left="720" w:hanging="720"/>
    </w:pPr>
  </w:style>
  <w:style w:type="paragraph" w:styleId="23">
    <w:name w:val="Body Text 2"/>
    <w:basedOn w:val="a1"/>
    <w:link w:val="24"/>
    <w:uiPriority w:val="99"/>
    <w:semiHidden/>
    <w:unhideWhenUsed/>
    <w:rsid w:val="0003148D"/>
    <w:pPr>
      <w:spacing w:after="120" w:line="480" w:lineRule="auto"/>
    </w:pPr>
  </w:style>
  <w:style w:type="character" w:customStyle="1" w:styleId="24">
    <w:name w:val="Основной текст 2 Знак"/>
    <w:basedOn w:val="a2"/>
    <w:link w:val="23"/>
    <w:uiPriority w:val="99"/>
    <w:semiHidden/>
    <w:rsid w:val="0003148D"/>
  </w:style>
  <w:style w:type="paragraph" w:styleId="33">
    <w:name w:val="Body Text 3"/>
    <w:basedOn w:val="a1"/>
    <w:link w:val="34"/>
    <w:uiPriority w:val="99"/>
    <w:semiHidden/>
    <w:unhideWhenUsed/>
    <w:rsid w:val="0003148D"/>
    <w:pPr>
      <w:spacing w:after="120"/>
    </w:pPr>
    <w:rPr>
      <w:sz w:val="16"/>
      <w:szCs w:val="16"/>
    </w:rPr>
  </w:style>
  <w:style w:type="character" w:customStyle="1" w:styleId="34">
    <w:name w:val="Основной текст 3 Знак"/>
    <w:basedOn w:val="a2"/>
    <w:link w:val="33"/>
    <w:uiPriority w:val="99"/>
    <w:semiHidden/>
    <w:rsid w:val="0003148D"/>
    <w:rPr>
      <w:sz w:val="16"/>
      <w:szCs w:val="16"/>
    </w:rPr>
  </w:style>
  <w:style w:type="paragraph" w:styleId="a9">
    <w:name w:val="Body Text"/>
    <w:basedOn w:val="a1"/>
    <w:link w:val="aa"/>
    <w:uiPriority w:val="99"/>
    <w:semiHidden/>
    <w:unhideWhenUsed/>
    <w:rsid w:val="0003148D"/>
    <w:pPr>
      <w:spacing w:after="120"/>
    </w:pPr>
  </w:style>
  <w:style w:type="character" w:customStyle="1" w:styleId="aa">
    <w:name w:val="Основной текст Знак"/>
    <w:basedOn w:val="a2"/>
    <w:link w:val="a9"/>
    <w:uiPriority w:val="99"/>
    <w:semiHidden/>
    <w:rsid w:val="0003148D"/>
  </w:style>
  <w:style w:type="paragraph" w:styleId="ab">
    <w:name w:val="Date"/>
    <w:basedOn w:val="a1"/>
    <w:next w:val="a1"/>
    <w:link w:val="ac"/>
    <w:uiPriority w:val="99"/>
    <w:semiHidden/>
    <w:unhideWhenUsed/>
    <w:rsid w:val="0003148D"/>
  </w:style>
  <w:style w:type="character" w:customStyle="1" w:styleId="ac">
    <w:name w:val="Дата Знак"/>
    <w:basedOn w:val="a2"/>
    <w:link w:val="ab"/>
    <w:uiPriority w:val="99"/>
    <w:semiHidden/>
    <w:rsid w:val="0003148D"/>
  </w:style>
  <w:style w:type="paragraph" w:styleId="ad">
    <w:name w:val="caption"/>
    <w:basedOn w:val="a1"/>
    <w:next w:val="a1"/>
    <w:uiPriority w:val="35"/>
    <w:semiHidden/>
    <w:unhideWhenUsed/>
    <w:qFormat/>
    <w:rsid w:val="0003148D"/>
    <w:pPr>
      <w:spacing w:line="240" w:lineRule="auto"/>
    </w:pPr>
    <w:rPr>
      <w:b/>
      <w:bCs/>
      <w:color w:val="4F81BD" w:themeColor="accent1"/>
      <w:szCs w:val="18"/>
    </w:rPr>
  </w:style>
  <w:style w:type="paragraph" w:styleId="ae">
    <w:name w:val="List"/>
    <w:basedOn w:val="a1"/>
    <w:uiPriority w:val="99"/>
    <w:semiHidden/>
    <w:unhideWhenUsed/>
    <w:rsid w:val="0003148D"/>
    <w:pPr>
      <w:ind w:left="283" w:hanging="283"/>
      <w:contextualSpacing/>
    </w:pPr>
  </w:style>
  <w:style w:type="paragraph" w:styleId="25">
    <w:name w:val="List 2"/>
    <w:basedOn w:val="a1"/>
    <w:uiPriority w:val="99"/>
    <w:semiHidden/>
    <w:unhideWhenUsed/>
    <w:rsid w:val="0003148D"/>
    <w:pPr>
      <w:ind w:left="566" w:hanging="283"/>
      <w:contextualSpacing/>
    </w:pPr>
  </w:style>
  <w:style w:type="paragraph" w:styleId="35">
    <w:name w:val="List 3"/>
    <w:basedOn w:val="a1"/>
    <w:uiPriority w:val="99"/>
    <w:semiHidden/>
    <w:unhideWhenUsed/>
    <w:rsid w:val="0003148D"/>
    <w:pPr>
      <w:ind w:left="849" w:hanging="283"/>
      <w:contextualSpacing/>
    </w:pPr>
  </w:style>
  <w:style w:type="paragraph" w:styleId="43">
    <w:name w:val="List 4"/>
    <w:basedOn w:val="a1"/>
    <w:uiPriority w:val="99"/>
    <w:semiHidden/>
    <w:unhideWhenUsed/>
    <w:rsid w:val="0003148D"/>
    <w:pPr>
      <w:ind w:left="1132" w:hanging="283"/>
      <w:contextualSpacing/>
    </w:pPr>
  </w:style>
  <w:style w:type="paragraph" w:styleId="53">
    <w:name w:val="List 5"/>
    <w:basedOn w:val="a1"/>
    <w:uiPriority w:val="99"/>
    <w:semiHidden/>
    <w:unhideWhenUsed/>
    <w:rsid w:val="0003148D"/>
    <w:pPr>
      <w:ind w:left="1415" w:hanging="283"/>
      <w:contextualSpacing/>
    </w:pPr>
  </w:style>
  <w:style w:type="paragraph" w:styleId="af">
    <w:name w:val="List Continue"/>
    <w:basedOn w:val="a1"/>
    <w:uiPriority w:val="99"/>
    <w:semiHidden/>
    <w:unhideWhenUsed/>
    <w:rsid w:val="0003148D"/>
    <w:pPr>
      <w:spacing w:after="120"/>
      <w:ind w:left="283"/>
      <w:contextualSpacing/>
    </w:pPr>
  </w:style>
  <w:style w:type="paragraph" w:styleId="26">
    <w:name w:val="List Continue 2"/>
    <w:basedOn w:val="a1"/>
    <w:uiPriority w:val="99"/>
    <w:semiHidden/>
    <w:unhideWhenUsed/>
    <w:rsid w:val="0003148D"/>
    <w:pPr>
      <w:spacing w:after="120"/>
      <w:ind w:left="566"/>
      <w:contextualSpacing/>
    </w:pPr>
  </w:style>
  <w:style w:type="paragraph" w:styleId="36">
    <w:name w:val="List Continue 3"/>
    <w:basedOn w:val="a1"/>
    <w:uiPriority w:val="99"/>
    <w:semiHidden/>
    <w:unhideWhenUsed/>
    <w:rsid w:val="0003148D"/>
    <w:pPr>
      <w:spacing w:after="120"/>
      <w:ind w:left="849"/>
      <w:contextualSpacing/>
    </w:pPr>
  </w:style>
  <w:style w:type="paragraph" w:styleId="44">
    <w:name w:val="List Continue 4"/>
    <w:basedOn w:val="a1"/>
    <w:uiPriority w:val="99"/>
    <w:semiHidden/>
    <w:unhideWhenUsed/>
    <w:rsid w:val="0003148D"/>
    <w:pPr>
      <w:spacing w:after="120"/>
      <w:ind w:left="1132"/>
      <w:contextualSpacing/>
    </w:pPr>
  </w:style>
  <w:style w:type="paragraph" w:styleId="54">
    <w:name w:val="List Continue 5"/>
    <w:basedOn w:val="a1"/>
    <w:uiPriority w:val="99"/>
    <w:semiHidden/>
    <w:unhideWhenUsed/>
    <w:rsid w:val="0003148D"/>
    <w:pPr>
      <w:spacing w:after="120"/>
      <w:ind w:left="1415"/>
      <w:contextualSpacing/>
    </w:pPr>
  </w:style>
  <w:style w:type="paragraph" w:styleId="af0">
    <w:name w:val="Signature"/>
    <w:basedOn w:val="a1"/>
    <w:link w:val="af1"/>
    <w:uiPriority w:val="99"/>
    <w:semiHidden/>
    <w:unhideWhenUsed/>
    <w:rsid w:val="0003148D"/>
    <w:pPr>
      <w:spacing w:line="240" w:lineRule="auto"/>
      <w:ind w:left="4252"/>
    </w:pPr>
  </w:style>
  <w:style w:type="character" w:customStyle="1" w:styleId="af1">
    <w:name w:val="Подпись Знак"/>
    <w:basedOn w:val="a2"/>
    <w:link w:val="af0"/>
    <w:uiPriority w:val="99"/>
    <w:semiHidden/>
    <w:rsid w:val="0003148D"/>
  </w:style>
  <w:style w:type="paragraph" w:styleId="af2">
    <w:name w:val="E-mail Signature"/>
    <w:basedOn w:val="a1"/>
    <w:link w:val="af3"/>
    <w:uiPriority w:val="99"/>
    <w:semiHidden/>
    <w:unhideWhenUsed/>
    <w:rsid w:val="0003148D"/>
    <w:pPr>
      <w:spacing w:line="240" w:lineRule="auto"/>
    </w:pPr>
  </w:style>
  <w:style w:type="character" w:customStyle="1" w:styleId="af3">
    <w:name w:val="Электронная подпись Знак"/>
    <w:basedOn w:val="a2"/>
    <w:link w:val="af2"/>
    <w:uiPriority w:val="99"/>
    <w:semiHidden/>
    <w:rsid w:val="0003148D"/>
  </w:style>
  <w:style w:type="paragraph" w:styleId="af4">
    <w:name w:val="Salutation"/>
    <w:basedOn w:val="a1"/>
    <w:next w:val="a1"/>
    <w:link w:val="af5"/>
    <w:uiPriority w:val="99"/>
    <w:semiHidden/>
    <w:unhideWhenUsed/>
    <w:rsid w:val="0003148D"/>
  </w:style>
  <w:style w:type="character" w:customStyle="1" w:styleId="af5">
    <w:name w:val="Приветствие Знак"/>
    <w:basedOn w:val="a2"/>
    <w:link w:val="af4"/>
    <w:uiPriority w:val="99"/>
    <w:semiHidden/>
    <w:rsid w:val="0003148D"/>
  </w:style>
  <w:style w:type="paragraph" w:styleId="af6">
    <w:name w:val="Closing"/>
    <w:basedOn w:val="a1"/>
    <w:link w:val="af7"/>
    <w:uiPriority w:val="99"/>
    <w:semiHidden/>
    <w:unhideWhenUsed/>
    <w:rsid w:val="0003148D"/>
    <w:pPr>
      <w:spacing w:line="240" w:lineRule="auto"/>
      <w:ind w:left="4252"/>
    </w:pPr>
  </w:style>
  <w:style w:type="character" w:customStyle="1" w:styleId="af7">
    <w:name w:val="Прощание Знак"/>
    <w:basedOn w:val="a2"/>
    <w:link w:val="af6"/>
    <w:uiPriority w:val="99"/>
    <w:semiHidden/>
    <w:rsid w:val="0003148D"/>
  </w:style>
  <w:style w:type="paragraph" w:styleId="12">
    <w:name w:val="index 1"/>
    <w:basedOn w:val="a1"/>
    <w:next w:val="a1"/>
    <w:autoRedefine/>
    <w:uiPriority w:val="99"/>
    <w:semiHidden/>
    <w:unhideWhenUsed/>
    <w:rsid w:val="0003148D"/>
    <w:pPr>
      <w:spacing w:line="240" w:lineRule="auto"/>
      <w:ind w:left="220" w:hanging="220"/>
    </w:pPr>
  </w:style>
  <w:style w:type="paragraph" w:styleId="27">
    <w:name w:val="index 2"/>
    <w:basedOn w:val="a1"/>
    <w:next w:val="a1"/>
    <w:autoRedefine/>
    <w:uiPriority w:val="99"/>
    <w:semiHidden/>
    <w:unhideWhenUsed/>
    <w:rsid w:val="0003148D"/>
    <w:pPr>
      <w:spacing w:line="240" w:lineRule="auto"/>
      <w:ind w:left="440" w:hanging="220"/>
    </w:pPr>
  </w:style>
  <w:style w:type="paragraph" w:styleId="37">
    <w:name w:val="index 3"/>
    <w:basedOn w:val="a1"/>
    <w:next w:val="a1"/>
    <w:autoRedefine/>
    <w:uiPriority w:val="99"/>
    <w:semiHidden/>
    <w:unhideWhenUsed/>
    <w:rsid w:val="0003148D"/>
    <w:pPr>
      <w:spacing w:line="240" w:lineRule="auto"/>
      <w:ind w:left="660" w:hanging="220"/>
    </w:pPr>
  </w:style>
  <w:style w:type="paragraph" w:styleId="45">
    <w:name w:val="index 4"/>
    <w:basedOn w:val="a1"/>
    <w:next w:val="a1"/>
    <w:autoRedefine/>
    <w:uiPriority w:val="99"/>
    <w:semiHidden/>
    <w:unhideWhenUsed/>
    <w:rsid w:val="0003148D"/>
    <w:pPr>
      <w:spacing w:line="240" w:lineRule="auto"/>
      <w:ind w:left="880" w:hanging="220"/>
    </w:pPr>
  </w:style>
  <w:style w:type="paragraph" w:styleId="55">
    <w:name w:val="index 5"/>
    <w:basedOn w:val="a1"/>
    <w:next w:val="a1"/>
    <w:autoRedefine/>
    <w:uiPriority w:val="99"/>
    <w:semiHidden/>
    <w:unhideWhenUsed/>
    <w:rsid w:val="0003148D"/>
    <w:pPr>
      <w:spacing w:line="240" w:lineRule="auto"/>
      <w:ind w:left="1100" w:hanging="220"/>
    </w:pPr>
  </w:style>
  <w:style w:type="paragraph" w:styleId="61">
    <w:name w:val="index 6"/>
    <w:basedOn w:val="a1"/>
    <w:next w:val="a1"/>
    <w:autoRedefine/>
    <w:uiPriority w:val="99"/>
    <w:semiHidden/>
    <w:unhideWhenUsed/>
    <w:rsid w:val="0003148D"/>
    <w:pPr>
      <w:spacing w:line="240" w:lineRule="auto"/>
      <w:ind w:left="1320" w:hanging="220"/>
    </w:pPr>
  </w:style>
  <w:style w:type="paragraph" w:styleId="71">
    <w:name w:val="index 7"/>
    <w:basedOn w:val="a1"/>
    <w:next w:val="a1"/>
    <w:autoRedefine/>
    <w:uiPriority w:val="99"/>
    <w:semiHidden/>
    <w:unhideWhenUsed/>
    <w:rsid w:val="0003148D"/>
    <w:pPr>
      <w:spacing w:line="240" w:lineRule="auto"/>
      <w:ind w:left="1540" w:hanging="220"/>
    </w:pPr>
  </w:style>
  <w:style w:type="paragraph" w:styleId="81">
    <w:name w:val="index 8"/>
    <w:basedOn w:val="a1"/>
    <w:next w:val="a1"/>
    <w:autoRedefine/>
    <w:uiPriority w:val="99"/>
    <w:semiHidden/>
    <w:unhideWhenUsed/>
    <w:rsid w:val="0003148D"/>
    <w:pPr>
      <w:spacing w:line="240" w:lineRule="auto"/>
      <w:ind w:left="1760" w:hanging="220"/>
    </w:pPr>
  </w:style>
  <w:style w:type="paragraph" w:styleId="91">
    <w:name w:val="index 9"/>
    <w:basedOn w:val="a1"/>
    <w:next w:val="a1"/>
    <w:autoRedefine/>
    <w:uiPriority w:val="99"/>
    <w:semiHidden/>
    <w:unhideWhenUsed/>
    <w:rsid w:val="0003148D"/>
    <w:pPr>
      <w:spacing w:line="240" w:lineRule="auto"/>
      <w:ind w:left="1980" w:hanging="220"/>
    </w:pPr>
  </w:style>
  <w:style w:type="paragraph" w:styleId="af8">
    <w:name w:val="table of figures"/>
    <w:basedOn w:val="a1"/>
    <w:next w:val="a1"/>
    <w:uiPriority w:val="99"/>
    <w:semiHidden/>
    <w:unhideWhenUsed/>
    <w:rsid w:val="0003148D"/>
  </w:style>
  <w:style w:type="paragraph" w:styleId="af9">
    <w:name w:val="table of authorities"/>
    <w:basedOn w:val="a1"/>
    <w:next w:val="a1"/>
    <w:uiPriority w:val="99"/>
    <w:semiHidden/>
    <w:unhideWhenUsed/>
    <w:rsid w:val="0003148D"/>
    <w:pPr>
      <w:ind w:left="220" w:hanging="220"/>
    </w:pPr>
  </w:style>
  <w:style w:type="paragraph" w:styleId="afa">
    <w:name w:val="envelope address"/>
    <w:basedOn w:val="a1"/>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
    <w:name w:val="HTML Address"/>
    <w:basedOn w:val="a1"/>
    <w:link w:val="HTML0"/>
    <w:uiPriority w:val="99"/>
    <w:semiHidden/>
    <w:unhideWhenUsed/>
    <w:rsid w:val="0003148D"/>
    <w:pPr>
      <w:spacing w:line="240" w:lineRule="auto"/>
    </w:pPr>
    <w:rPr>
      <w:i/>
      <w:iCs/>
    </w:rPr>
  </w:style>
  <w:style w:type="character" w:customStyle="1" w:styleId="HTML0">
    <w:name w:val="Адрес HTML Знак"/>
    <w:basedOn w:val="a2"/>
    <w:link w:val="HTML"/>
    <w:uiPriority w:val="99"/>
    <w:semiHidden/>
    <w:rsid w:val="0003148D"/>
    <w:rPr>
      <w:i/>
      <w:iCs/>
    </w:rPr>
  </w:style>
  <w:style w:type="paragraph" w:styleId="28">
    <w:name w:val="envelope return"/>
    <w:basedOn w:val="a1"/>
    <w:uiPriority w:val="99"/>
    <w:semiHidden/>
    <w:unhideWhenUsed/>
    <w:rsid w:val="0003148D"/>
    <w:pPr>
      <w:spacing w:line="240" w:lineRule="auto"/>
    </w:pPr>
    <w:rPr>
      <w:rFonts w:asciiTheme="majorHAnsi" w:eastAsiaTheme="majorEastAsia" w:hAnsiTheme="majorHAnsi" w:cstheme="majorBidi"/>
    </w:rPr>
  </w:style>
  <w:style w:type="paragraph" w:styleId="afb">
    <w:name w:val="Message Header"/>
    <w:basedOn w:val="a1"/>
    <w:link w:val="afc"/>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afc">
    <w:name w:val="Шапка Знак"/>
    <w:basedOn w:val="a2"/>
    <w:link w:val="afb"/>
    <w:uiPriority w:val="99"/>
    <w:semiHidden/>
    <w:rsid w:val="0003148D"/>
    <w:rPr>
      <w:rFonts w:asciiTheme="majorHAnsi" w:eastAsiaTheme="majorEastAsia" w:hAnsiTheme="majorHAnsi" w:cstheme="majorBidi"/>
      <w:sz w:val="24"/>
      <w:szCs w:val="24"/>
      <w:shd w:val="pct20" w:color="auto" w:fill="auto"/>
    </w:rPr>
  </w:style>
  <w:style w:type="paragraph" w:styleId="afd">
    <w:name w:val="Note Heading"/>
    <w:basedOn w:val="a1"/>
    <w:next w:val="a1"/>
    <w:link w:val="afe"/>
    <w:uiPriority w:val="99"/>
    <w:semiHidden/>
    <w:unhideWhenUsed/>
    <w:rsid w:val="0003148D"/>
    <w:pPr>
      <w:spacing w:line="240" w:lineRule="auto"/>
    </w:pPr>
  </w:style>
  <w:style w:type="character" w:customStyle="1" w:styleId="afe">
    <w:name w:val="Заголовок записки Знак"/>
    <w:basedOn w:val="a2"/>
    <w:link w:val="afd"/>
    <w:uiPriority w:val="99"/>
    <w:semiHidden/>
    <w:rsid w:val="0003148D"/>
  </w:style>
  <w:style w:type="paragraph" w:styleId="aff">
    <w:name w:val="Document Map"/>
    <w:basedOn w:val="a1"/>
    <w:link w:val="aff0"/>
    <w:uiPriority w:val="99"/>
    <w:semiHidden/>
    <w:unhideWhenUsed/>
    <w:rsid w:val="0003148D"/>
    <w:pPr>
      <w:spacing w:line="240" w:lineRule="auto"/>
    </w:pPr>
    <w:rPr>
      <w:rFonts w:ascii="Tahoma" w:hAnsi="Tahoma" w:cs="Tahoma"/>
      <w:sz w:val="16"/>
      <w:szCs w:val="16"/>
    </w:rPr>
  </w:style>
  <w:style w:type="character" w:customStyle="1" w:styleId="aff0">
    <w:name w:val="Схема документа Знак"/>
    <w:basedOn w:val="a2"/>
    <w:link w:val="aff"/>
    <w:uiPriority w:val="99"/>
    <w:semiHidden/>
    <w:rsid w:val="0003148D"/>
    <w:rPr>
      <w:rFonts w:ascii="Tahoma" w:hAnsi="Tahoma" w:cs="Tahoma"/>
      <w:sz w:val="16"/>
      <w:szCs w:val="16"/>
    </w:rPr>
  </w:style>
  <w:style w:type="paragraph" w:styleId="aff1">
    <w:name w:val="Normal (Web)"/>
    <w:basedOn w:val="a1"/>
    <w:uiPriority w:val="99"/>
    <w:unhideWhenUsed/>
    <w:rsid w:val="0003148D"/>
    <w:rPr>
      <w:sz w:val="24"/>
      <w:szCs w:val="24"/>
    </w:rPr>
  </w:style>
  <w:style w:type="paragraph" w:styleId="a">
    <w:name w:val="List Number"/>
    <w:basedOn w:val="a1"/>
    <w:uiPriority w:val="99"/>
    <w:semiHidden/>
    <w:unhideWhenUsed/>
    <w:rsid w:val="0003148D"/>
    <w:pPr>
      <w:numPr>
        <w:numId w:val="2"/>
      </w:numPr>
      <w:contextualSpacing/>
    </w:pPr>
  </w:style>
  <w:style w:type="paragraph" w:styleId="2">
    <w:name w:val="List Number 2"/>
    <w:basedOn w:val="a1"/>
    <w:uiPriority w:val="99"/>
    <w:semiHidden/>
    <w:unhideWhenUsed/>
    <w:rsid w:val="0003148D"/>
    <w:pPr>
      <w:numPr>
        <w:numId w:val="3"/>
      </w:numPr>
      <w:contextualSpacing/>
    </w:pPr>
  </w:style>
  <w:style w:type="paragraph" w:styleId="3">
    <w:name w:val="List Number 3"/>
    <w:basedOn w:val="a1"/>
    <w:uiPriority w:val="99"/>
    <w:semiHidden/>
    <w:unhideWhenUsed/>
    <w:rsid w:val="0003148D"/>
    <w:pPr>
      <w:numPr>
        <w:numId w:val="4"/>
      </w:numPr>
      <w:contextualSpacing/>
    </w:pPr>
  </w:style>
  <w:style w:type="paragraph" w:styleId="4">
    <w:name w:val="List Number 4"/>
    <w:basedOn w:val="a1"/>
    <w:uiPriority w:val="99"/>
    <w:semiHidden/>
    <w:unhideWhenUsed/>
    <w:rsid w:val="0003148D"/>
    <w:pPr>
      <w:numPr>
        <w:numId w:val="5"/>
      </w:numPr>
      <w:contextualSpacing/>
    </w:pPr>
  </w:style>
  <w:style w:type="paragraph" w:styleId="5">
    <w:name w:val="List Number 5"/>
    <w:basedOn w:val="a1"/>
    <w:uiPriority w:val="99"/>
    <w:semiHidden/>
    <w:unhideWhenUsed/>
    <w:rsid w:val="0003148D"/>
    <w:pPr>
      <w:numPr>
        <w:numId w:val="6"/>
      </w:numPr>
      <w:contextualSpacing/>
    </w:pPr>
  </w:style>
  <w:style w:type="paragraph" w:styleId="HTML1">
    <w:name w:val="HTML Preformatted"/>
    <w:basedOn w:val="a1"/>
    <w:link w:val="HTML2"/>
    <w:uiPriority w:val="99"/>
    <w:semiHidden/>
    <w:unhideWhenUsed/>
    <w:rsid w:val="0003148D"/>
    <w:pPr>
      <w:spacing w:line="240" w:lineRule="auto"/>
    </w:pPr>
    <w:rPr>
      <w:rFonts w:ascii="Consolas" w:hAnsi="Consolas" w:cs="Consolas"/>
    </w:rPr>
  </w:style>
  <w:style w:type="character" w:customStyle="1" w:styleId="HTML2">
    <w:name w:val="Стандартный HTML Знак"/>
    <w:basedOn w:val="a2"/>
    <w:link w:val="HTML1"/>
    <w:uiPriority w:val="99"/>
    <w:semiHidden/>
    <w:rsid w:val="0003148D"/>
    <w:rPr>
      <w:rFonts w:ascii="Consolas" w:hAnsi="Consolas" w:cs="Consolas"/>
      <w:sz w:val="20"/>
      <w:szCs w:val="20"/>
    </w:rPr>
  </w:style>
  <w:style w:type="paragraph" w:styleId="aff2">
    <w:name w:val="Body Text First Indent"/>
    <w:basedOn w:val="a9"/>
    <w:link w:val="aff3"/>
    <w:uiPriority w:val="99"/>
    <w:semiHidden/>
    <w:unhideWhenUsed/>
    <w:rsid w:val="0003148D"/>
    <w:pPr>
      <w:spacing w:after="200"/>
      <w:ind w:firstLine="360"/>
    </w:pPr>
  </w:style>
  <w:style w:type="character" w:customStyle="1" w:styleId="aff3">
    <w:name w:val="Красная строка Знак"/>
    <w:basedOn w:val="aa"/>
    <w:link w:val="aff2"/>
    <w:uiPriority w:val="99"/>
    <w:semiHidden/>
    <w:rsid w:val="0003148D"/>
  </w:style>
  <w:style w:type="paragraph" w:styleId="aff4">
    <w:name w:val="Body Text Indent"/>
    <w:basedOn w:val="a1"/>
    <w:link w:val="aff5"/>
    <w:uiPriority w:val="99"/>
    <w:semiHidden/>
    <w:unhideWhenUsed/>
    <w:rsid w:val="0003148D"/>
    <w:pPr>
      <w:spacing w:after="120"/>
      <w:ind w:left="283"/>
    </w:pPr>
  </w:style>
  <w:style w:type="character" w:customStyle="1" w:styleId="aff5">
    <w:name w:val="Основной текст с отступом Знак"/>
    <w:basedOn w:val="a2"/>
    <w:link w:val="aff4"/>
    <w:uiPriority w:val="99"/>
    <w:semiHidden/>
    <w:rsid w:val="0003148D"/>
  </w:style>
  <w:style w:type="paragraph" w:styleId="29">
    <w:name w:val="Body Text First Indent 2"/>
    <w:basedOn w:val="aff4"/>
    <w:link w:val="2a"/>
    <w:uiPriority w:val="99"/>
    <w:semiHidden/>
    <w:unhideWhenUsed/>
    <w:rsid w:val="0003148D"/>
    <w:pPr>
      <w:spacing w:after="200"/>
      <w:ind w:left="360" w:firstLine="360"/>
    </w:pPr>
  </w:style>
  <w:style w:type="character" w:customStyle="1" w:styleId="2a">
    <w:name w:val="Красная строка 2 Знак"/>
    <w:basedOn w:val="aff5"/>
    <w:link w:val="29"/>
    <w:uiPriority w:val="99"/>
    <w:semiHidden/>
    <w:rsid w:val="0003148D"/>
  </w:style>
  <w:style w:type="paragraph" w:styleId="a0">
    <w:name w:val="List Bullet"/>
    <w:basedOn w:val="a1"/>
    <w:uiPriority w:val="99"/>
    <w:semiHidden/>
    <w:unhideWhenUsed/>
    <w:rsid w:val="0003148D"/>
    <w:pPr>
      <w:numPr>
        <w:numId w:val="7"/>
      </w:numPr>
      <w:contextualSpacing/>
    </w:pPr>
  </w:style>
  <w:style w:type="paragraph" w:styleId="20">
    <w:name w:val="List Bullet 2"/>
    <w:basedOn w:val="a1"/>
    <w:uiPriority w:val="99"/>
    <w:semiHidden/>
    <w:unhideWhenUsed/>
    <w:rsid w:val="0003148D"/>
    <w:pPr>
      <w:numPr>
        <w:numId w:val="8"/>
      </w:numPr>
      <w:contextualSpacing/>
    </w:pPr>
  </w:style>
  <w:style w:type="paragraph" w:styleId="30">
    <w:name w:val="List Bullet 3"/>
    <w:basedOn w:val="a1"/>
    <w:uiPriority w:val="99"/>
    <w:semiHidden/>
    <w:unhideWhenUsed/>
    <w:rsid w:val="0003148D"/>
    <w:pPr>
      <w:numPr>
        <w:numId w:val="9"/>
      </w:numPr>
      <w:contextualSpacing/>
    </w:pPr>
  </w:style>
  <w:style w:type="paragraph" w:styleId="40">
    <w:name w:val="List Bullet 4"/>
    <w:basedOn w:val="a1"/>
    <w:uiPriority w:val="99"/>
    <w:semiHidden/>
    <w:unhideWhenUsed/>
    <w:rsid w:val="0003148D"/>
    <w:pPr>
      <w:numPr>
        <w:numId w:val="10"/>
      </w:numPr>
      <w:contextualSpacing/>
    </w:pPr>
  </w:style>
  <w:style w:type="paragraph" w:styleId="50">
    <w:name w:val="List Bullet 5"/>
    <w:basedOn w:val="a1"/>
    <w:uiPriority w:val="99"/>
    <w:semiHidden/>
    <w:unhideWhenUsed/>
    <w:rsid w:val="0003148D"/>
    <w:pPr>
      <w:numPr>
        <w:numId w:val="11"/>
      </w:numPr>
      <w:contextualSpacing/>
    </w:pPr>
  </w:style>
  <w:style w:type="paragraph" w:styleId="2b">
    <w:name w:val="Body Text Indent 2"/>
    <w:basedOn w:val="a1"/>
    <w:link w:val="2c"/>
    <w:uiPriority w:val="99"/>
    <w:semiHidden/>
    <w:unhideWhenUsed/>
    <w:rsid w:val="0003148D"/>
    <w:pPr>
      <w:spacing w:after="120" w:line="480" w:lineRule="auto"/>
      <w:ind w:left="283"/>
    </w:pPr>
  </w:style>
  <w:style w:type="character" w:customStyle="1" w:styleId="2c">
    <w:name w:val="Основной текст с отступом 2 Знак"/>
    <w:basedOn w:val="a2"/>
    <w:link w:val="2b"/>
    <w:uiPriority w:val="99"/>
    <w:semiHidden/>
    <w:rsid w:val="0003148D"/>
  </w:style>
  <w:style w:type="paragraph" w:styleId="38">
    <w:name w:val="Body Text Indent 3"/>
    <w:basedOn w:val="a1"/>
    <w:link w:val="39"/>
    <w:uiPriority w:val="99"/>
    <w:semiHidden/>
    <w:unhideWhenUsed/>
    <w:rsid w:val="0003148D"/>
    <w:pPr>
      <w:spacing w:after="120"/>
      <w:ind w:left="283"/>
    </w:pPr>
    <w:rPr>
      <w:sz w:val="16"/>
      <w:szCs w:val="16"/>
    </w:rPr>
  </w:style>
  <w:style w:type="character" w:customStyle="1" w:styleId="39">
    <w:name w:val="Основной текст с отступом 3 Знак"/>
    <w:basedOn w:val="a2"/>
    <w:link w:val="38"/>
    <w:uiPriority w:val="99"/>
    <w:semiHidden/>
    <w:rsid w:val="0003148D"/>
    <w:rPr>
      <w:sz w:val="16"/>
      <w:szCs w:val="16"/>
    </w:rPr>
  </w:style>
  <w:style w:type="paragraph" w:styleId="aff6">
    <w:name w:val="Normal Indent"/>
    <w:basedOn w:val="a1"/>
    <w:uiPriority w:val="99"/>
    <w:semiHidden/>
    <w:unhideWhenUsed/>
    <w:rsid w:val="0003148D"/>
    <w:pPr>
      <w:ind w:left="720"/>
    </w:pPr>
  </w:style>
  <w:style w:type="paragraph" w:styleId="aff7">
    <w:name w:val="annotation text"/>
    <w:basedOn w:val="a1"/>
    <w:link w:val="aff8"/>
    <w:uiPriority w:val="99"/>
    <w:unhideWhenUsed/>
    <w:rsid w:val="0003148D"/>
    <w:pPr>
      <w:spacing w:line="240" w:lineRule="auto"/>
    </w:pPr>
  </w:style>
  <w:style w:type="character" w:customStyle="1" w:styleId="aff8">
    <w:name w:val="Текст примечания Знак"/>
    <w:basedOn w:val="a2"/>
    <w:link w:val="aff7"/>
    <w:uiPriority w:val="99"/>
    <w:rsid w:val="0003148D"/>
    <w:rPr>
      <w:sz w:val="20"/>
      <w:szCs w:val="20"/>
    </w:rPr>
  </w:style>
  <w:style w:type="paragraph" w:styleId="aff9">
    <w:name w:val="annotation subject"/>
    <w:basedOn w:val="aff7"/>
    <w:next w:val="aff7"/>
    <w:link w:val="affa"/>
    <w:uiPriority w:val="99"/>
    <w:semiHidden/>
    <w:unhideWhenUsed/>
    <w:rsid w:val="0003148D"/>
    <w:rPr>
      <w:b/>
      <w:bCs/>
    </w:rPr>
  </w:style>
  <w:style w:type="character" w:customStyle="1" w:styleId="affa">
    <w:name w:val="Тема примечания Знак"/>
    <w:basedOn w:val="aff8"/>
    <w:link w:val="aff9"/>
    <w:uiPriority w:val="99"/>
    <w:semiHidden/>
    <w:rsid w:val="0003148D"/>
    <w:rPr>
      <w:b/>
      <w:bCs/>
      <w:sz w:val="20"/>
      <w:szCs w:val="20"/>
    </w:rPr>
  </w:style>
  <w:style w:type="paragraph" w:styleId="13">
    <w:name w:val="toc 1"/>
    <w:basedOn w:val="a1"/>
    <w:next w:val="a1"/>
    <w:autoRedefine/>
    <w:uiPriority w:val="39"/>
    <w:semiHidden/>
    <w:unhideWhenUsed/>
    <w:rsid w:val="0003148D"/>
    <w:pPr>
      <w:spacing w:after="100"/>
    </w:pPr>
  </w:style>
  <w:style w:type="paragraph" w:styleId="2d">
    <w:name w:val="toc 2"/>
    <w:basedOn w:val="a1"/>
    <w:next w:val="a1"/>
    <w:autoRedefine/>
    <w:uiPriority w:val="39"/>
    <w:semiHidden/>
    <w:unhideWhenUsed/>
    <w:rsid w:val="0003148D"/>
    <w:pPr>
      <w:spacing w:after="100"/>
      <w:ind w:left="220"/>
    </w:pPr>
  </w:style>
  <w:style w:type="paragraph" w:styleId="3a">
    <w:name w:val="toc 3"/>
    <w:basedOn w:val="a1"/>
    <w:next w:val="a1"/>
    <w:autoRedefine/>
    <w:uiPriority w:val="39"/>
    <w:semiHidden/>
    <w:unhideWhenUsed/>
    <w:rsid w:val="0003148D"/>
    <w:pPr>
      <w:spacing w:after="100"/>
      <w:ind w:left="440"/>
    </w:pPr>
  </w:style>
  <w:style w:type="paragraph" w:styleId="46">
    <w:name w:val="toc 4"/>
    <w:basedOn w:val="a1"/>
    <w:next w:val="a1"/>
    <w:autoRedefine/>
    <w:uiPriority w:val="39"/>
    <w:semiHidden/>
    <w:unhideWhenUsed/>
    <w:rsid w:val="0003148D"/>
    <w:pPr>
      <w:spacing w:after="100"/>
      <w:ind w:left="660"/>
    </w:pPr>
  </w:style>
  <w:style w:type="paragraph" w:styleId="56">
    <w:name w:val="toc 5"/>
    <w:basedOn w:val="a1"/>
    <w:next w:val="a1"/>
    <w:autoRedefine/>
    <w:uiPriority w:val="39"/>
    <w:semiHidden/>
    <w:unhideWhenUsed/>
    <w:rsid w:val="0003148D"/>
    <w:pPr>
      <w:spacing w:after="100"/>
      <w:ind w:left="880"/>
    </w:pPr>
  </w:style>
  <w:style w:type="paragraph" w:styleId="62">
    <w:name w:val="toc 6"/>
    <w:basedOn w:val="a1"/>
    <w:next w:val="a1"/>
    <w:autoRedefine/>
    <w:uiPriority w:val="39"/>
    <w:semiHidden/>
    <w:unhideWhenUsed/>
    <w:rsid w:val="0003148D"/>
    <w:pPr>
      <w:spacing w:after="100"/>
      <w:ind w:left="1100"/>
    </w:pPr>
  </w:style>
  <w:style w:type="paragraph" w:styleId="72">
    <w:name w:val="toc 7"/>
    <w:basedOn w:val="a1"/>
    <w:next w:val="a1"/>
    <w:autoRedefine/>
    <w:uiPriority w:val="39"/>
    <w:semiHidden/>
    <w:unhideWhenUsed/>
    <w:rsid w:val="0003148D"/>
    <w:pPr>
      <w:spacing w:after="100"/>
      <w:ind w:left="1320"/>
    </w:pPr>
  </w:style>
  <w:style w:type="paragraph" w:styleId="82">
    <w:name w:val="toc 8"/>
    <w:basedOn w:val="a1"/>
    <w:next w:val="a1"/>
    <w:autoRedefine/>
    <w:uiPriority w:val="39"/>
    <w:semiHidden/>
    <w:unhideWhenUsed/>
    <w:rsid w:val="0003148D"/>
    <w:pPr>
      <w:spacing w:after="100"/>
      <w:ind w:left="1540"/>
    </w:pPr>
  </w:style>
  <w:style w:type="paragraph" w:styleId="92">
    <w:name w:val="toc 9"/>
    <w:basedOn w:val="a1"/>
    <w:next w:val="a1"/>
    <w:autoRedefine/>
    <w:uiPriority w:val="39"/>
    <w:semiHidden/>
    <w:unhideWhenUsed/>
    <w:rsid w:val="0003148D"/>
    <w:pPr>
      <w:spacing w:after="100"/>
      <w:ind w:left="1760"/>
    </w:pPr>
  </w:style>
  <w:style w:type="paragraph" w:styleId="affb">
    <w:name w:val="Block Text"/>
    <w:basedOn w:val="a1"/>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fc">
    <w:name w:val="macro"/>
    <w:link w:val="affd"/>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affd">
    <w:name w:val="Текст макроса Знак"/>
    <w:basedOn w:val="a2"/>
    <w:link w:val="affc"/>
    <w:uiPriority w:val="99"/>
    <w:semiHidden/>
    <w:rsid w:val="0003148D"/>
    <w:rPr>
      <w:rFonts w:ascii="Consolas" w:hAnsi="Consolas" w:cs="Consolas"/>
      <w:sz w:val="20"/>
      <w:szCs w:val="20"/>
    </w:rPr>
  </w:style>
  <w:style w:type="paragraph" w:styleId="affe">
    <w:name w:val="Plain Text"/>
    <w:basedOn w:val="a1"/>
    <w:link w:val="afff"/>
    <w:uiPriority w:val="99"/>
    <w:semiHidden/>
    <w:unhideWhenUsed/>
    <w:rsid w:val="0003148D"/>
    <w:pPr>
      <w:spacing w:line="240" w:lineRule="auto"/>
    </w:pPr>
    <w:rPr>
      <w:rFonts w:ascii="Consolas" w:hAnsi="Consolas" w:cs="Consolas"/>
      <w:sz w:val="21"/>
      <w:szCs w:val="21"/>
    </w:rPr>
  </w:style>
  <w:style w:type="character" w:customStyle="1" w:styleId="afff">
    <w:name w:val="Текст Знак"/>
    <w:basedOn w:val="a2"/>
    <w:link w:val="affe"/>
    <w:uiPriority w:val="99"/>
    <w:semiHidden/>
    <w:rsid w:val="0003148D"/>
    <w:rPr>
      <w:rFonts w:ascii="Consolas" w:hAnsi="Consolas" w:cs="Consolas"/>
      <w:sz w:val="21"/>
      <w:szCs w:val="21"/>
    </w:rPr>
  </w:style>
  <w:style w:type="paragraph" w:styleId="afff0">
    <w:name w:val="footnote text"/>
    <w:basedOn w:val="a1"/>
    <w:link w:val="afff1"/>
    <w:uiPriority w:val="99"/>
    <w:semiHidden/>
    <w:unhideWhenUsed/>
    <w:rsid w:val="0003148D"/>
    <w:pPr>
      <w:spacing w:line="240" w:lineRule="auto"/>
    </w:pPr>
  </w:style>
  <w:style w:type="character" w:customStyle="1" w:styleId="afff1">
    <w:name w:val="Текст сноски Знак"/>
    <w:basedOn w:val="a2"/>
    <w:link w:val="afff0"/>
    <w:uiPriority w:val="99"/>
    <w:semiHidden/>
    <w:rsid w:val="0003148D"/>
    <w:rPr>
      <w:sz w:val="20"/>
      <w:szCs w:val="20"/>
    </w:rPr>
  </w:style>
  <w:style w:type="paragraph" w:styleId="afff2">
    <w:name w:val="endnote text"/>
    <w:basedOn w:val="a1"/>
    <w:link w:val="afff3"/>
    <w:uiPriority w:val="99"/>
    <w:semiHidden/>
    <w:unhideWhenUsed/>
    <w:rsid w:val="0003148D"/>
    <w:pPr>
      <w:spacing w:line="240" w:lineRule="auto"/>
    </w:pPr>
  </w:style>
  <w:style w:type="character" w:customStyle="1" w:styleId="afff3">
    <w:name w:val="Текст концевой сноски Знак"/>
    <w:basedOn w:val="a2"/>
    <w:link w:val="afff2"/>
    <w:uiPriority w:val="99"/>
    <w:semiHidden/>
    <w:rsid w:val="0003148D"/>
    <w:rPr>
      <w:sz w:val="20"/>
      <w:szCs w:val="20"/>
    </w:rPr>
  </w:style>
  <w:style w:type="character" w:customStyle="1" w:styleId="11">
    <w:name w:val="Заголовок 1 Знак"/>
    <w:basedOn w:val="a2"/>
    <w:link w:val="10"/>
    <w:uiPriority w:val="9"/>
    <w:rsid w:val="004F5E36"/>
    <w:rPr>
      <w:rFonts w:ascii="Arial" w:eastAsia="Times New Roman" w:hAnsi="Arial" w:cs="Times New Roman"/>
      <w:b/>
      <w:sz w:val="20"/>
      <w:szCs w:val="20"/>
      <w:lang w:val="en-GB"/>
    </w:rPr>
  </w:style>
  <w:style w:type="character" w:customStyle="1" w:styleId="22">
    <w:name w:val="Заголовок 2 Знак"/>
    <w:basedOn w:val="a2"/>
    <w:link w:val="21"/>
    <w:uiPriority w:val="9"/>
    <w:semiHidden/>
    <w:rsid w:val="0003148D"/>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03148D"/>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03148D"/>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03148D"/>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03148D"/>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03148D"/>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03148D"/>
    <w:rPr>
      <w:rFonts w:asciiTheme="majorHAnsi" w:eastAsiaTheme="majorEastAsia" w:hAnsiTheme="majorHAnsi" w:cstheme="majorBidi"/>
      <w:i/>
      <w:iCs/>
      <w:color w:val="404040" w:themeColor="text1" w:themeTint="BF"/>
      <w:sz w:val="20"/>
      <w:szCs w:val="20"/>
    </w:rPr>
  </w:style>
  <w:style w:type="paragraph" w:styleId="afff4">
    <w:name w:val="index heading"/>
    <w:basedOn w:val="a1"/>
    <w:next w:val="12"/>
    <w:uiPriority w:val="99"/>
    <w:semiHidden/>
    <w:unhideWhenUsed/>
    <w:rsid w:val="0003148D"/>
    <w:rPr>
      <w:rFonts w:asciiTheme="majorHAnsi" w:eastAsiaTheme="majorEastAsia" w:hAnsiTheme="majorHAnsi" w:cstheme="majorBidi"/>
      <w:b/>
      <w:bCs/>
    </w:rPr>
  </w:style>
  <w:style w:type="paragraph" w:styleId="afff5">
    <w:name w:val="toa heading"/>
    <w:basedOn w:val="a1"/>
    <w:next w:val="a1"/>
    <w:uiPriority w:val="99"/>
    <w:semiHidden/>
    <w:unhideWhenUsed/>
    <w:rsid w:val="0003148D"/>
    <w:pPr>
      <w:spacing w:before="120"/>
    </w:pPr>
    <w:rPr>
      <w:rFonts w:asciiTheme="majorHAnsi" w:eastAsiaTheme="majorEastAsia" w:hAnsiTheme="majorHAnsi" w:cstheme="majorBidi"/>
      <w:b/>
      <w:bCs/>
      <w:sz w:val="24"/>
      <w:szCs w:val="24"/>
    </w:rPr>
  </w:style>
  <w:style w:type="paragraph" w:styleId="afff6">
    <w:name w:val="TOC Heading"/>
    <w:basedOn w:val="10"/>
    <w:next w:val="a1"/>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a2"/>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afff7">
    <w:name w:val="header"/>
    <w:basedOn w:val="a1"/>
    <w:link w:val="afff8"/>
    <w:uiPriority w:val="99"/>
    <w:unhideWhenUsed/>
    <w:rsid w:val="005278B7"/>
    <w:pPr>
      <w:tabs>
        <w:tab w:val="clear" w:pos="7100"/>
        <w:tab w:val="center" w:pos="4819"/>
        <w:tab w:val="right" w:pos="9638"/>
      </w:tabs>
      <w:spacing w:line="240" w:lineRule="auto"/>
    </w:pPr>
  </w:style>
  <w:style w:type="character" w:customStyle="1" w:styleId="afff8">
    <w:name w:val="Верхний колонтитул Знак"/>
    <w:basedOn w:val="a2"/>
    <w:link w:val="afff7"/>
    <w:uiPriority w:val="99"/>
    <w:rsid w:val="005278B7"/>
    <w:rPr>
      <w:rFonts w:ascii="Arial" w:eastAsia="Times New Roman" w:hAnsi="Arial" w:cs="Times New Roman"/>
      <w:sz w:val="18"/>
      <w:szCs w:val="20"/>
      <w:lang w:val="en-GB"/>
    </w:rPr>
  </w:style>
  <w:style w:type="paragraph" w:styleId="afff9">
    <w:name w:val="footer"/>
    <w:basedOn w:val="a1"/>
    <w:link w:val="afffa"/>
    <w:uiPriority w:val="99"/>
    <w:unhideWhenUsed/>
    <w:rsid w:val="005278B7"/>
    <w:pPr>
      <w:tabs>
        <w:tab w:val="clear" w:pos="7100"/>
        <w:tab w:val="center" w:pos="4819"/>
        <w:tab w:val="right" w:pos="9638"/>
      </w:tabs>
      <w:spacing w:line="240" w:lineRule="auto"/>
    </w:pPr>
  </w:style>
  <w:style w:type="character" w:customStyle="1" w:styleId="afffa">
    <w:name w:val="Нижний колонтитул Знак"/>
    <w:basedOn w:val="a2"/>
    <w:link w:val="afff9"/>
    <w:uiPriority w:val="99"/>
    <w:rsid w:val="005278B7"/>
    <w:rPr>
      <w:rFonts w:ascii="Arial" w:eastAsia="Times New Roman" w:hAnsi="Arial" w:cs="Times New Roman"/>
      <w:sz w:val="18"/>
      <w:szCs w:val="20"/>
      <w:lang w:val="en-GB"/>
    </w:rPr>
  </w:style>
  <w:style w:type="table" w:styleId="afffb">
    <w:name w:val="Table Grid"/>
    <w:basedOn w:val="a3"/>
    <w:uiPriority w:val="3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Hyperlink"/>
    <w:basedOn w:val="a2"/>
    <w:uiPriority w:val="99"/>
    <w:unhideWhenUsed/>
    <w:rsid w:val="00904C62"/>
    <w:rPr>
      <w:color w:val="0000FF" w:themeColor="hyperlink"/>
      <w:u w:val="single"/>
    </w:rPr>
  </w:style>
  <w:style w:type="character" w:customStyle="1" w:styleId="eudoraheader">
    <w:name w:val="eudoraheader"/>
    <w:basedOn w:val="a2"/>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afffd">
    <w:name w:val="List Paragraph"/>
    <w:basedOn w:val="a1"/>
    <w:uiPriority w:val="34"/>
    <w:rsid w:val="00280FAF"/>
    <w:pPr>
      <w:ind w:left="720"/>
      <w:contextualSpacing/>
    </w:pPr>
  </w:style>
  <w:style w:type="character" w:customStyle="1" w:styleId="gmail-apple-converted-space">
    <w:name w:val="gmail-apple-converted-space"/>
    <w:basedOn w:val="a2"/>
    <w:rsid w:val="00005A19"/>
  </w:style>
  <w:style w:type="character" w:customStyle="1" w:styleId="vlist-s">
    <w:name w:val="vlist-s"/>
    <w:basedOn w:val="a2"/>
    <w:rsid w:val="00593416"/>
  </w:style>
  <w:style w:type="character" w:styleId="afffe">
    <w:name w:val="Strong"/>
    <w:basedOn w:val="a2"/>
    <w:uiPriority w:val="22"/>
    <w:qFormat/>
    <w:rsid w:val="00E043AE"/>
    <w:rPr>
      <w:b/>
      <w:bCs/>
    </w:rPr>
  </w:style>
  <w:style w:type="character" w:customStyle="1" w:styleId="katex-mathml">
    <w:name w:val="katex-mathml"/>
    <w:basedOn w:val="a2"/>
    <w:rsid w:val="00E40B57"/>
  </w:style>
  <w:style w:type="character" w:customStyle="1" w:styleId="mord">
    <w:name w:val="mord"/>
    <w:basedOn w:val="a2"/>
    <w:rsid w:val="00E40B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077746">
      <w:bodyDiv w:val="1"/>
      <w:marLeft w:val="0"/>
      <w:marRight w:val="0"/>
      <w:marTop w:val="0"/>
      <w:marBottom w:val="0"/>
      <w:divBdr>
        <w:top w:val="none" w:sz="0" w:space="0" w:color="auto"/>
        <w:left w:val="none" w:sz="0" w:space="0" w:color="auto"/>
        <w:bottom w:val="none" w:sz="0" w:space="0" w:color="auto"/>
        <w:right w:val="none" w:sz="0" w:space="0" w:color="auto"/>
      </w:divBdr>
    </w:div>
    <w:div w:id="163250648">
      <w:bodyDiv w:val="1"/>
      <w:marLeft w:val="0"/>
      <w:marRight w:val="0"/>
      <w:marTop w:val="0"/>
      <w:marBottom w:val="0"/>
      <w:divBdr>
        <w:top w:val="none" w:sz="0" w:space="0" w:color="auto"/>
        <w:left w:val="none" w:sz="0" w:space="0" w:color="auto"/>
        <w:bottom w:val="none" w:sz="0" w:space="0" w:color="auto"/>
        <w:right w:val="none" w:sz="0" w:space="0" w:color="auto"/>
      </w:divBdr>
    </w:div>
    <w:div w:id="220097083">
      <w:bodyDiv w:val="1"/>
      <w:marLeft w:val="0"/>
      <w:marRight w:val="0"/>
      <w:marTop w:val="0"/>
      <w:marBottom w:val="0"/>
      <w:divBdr>
        <w:top w:val="none" w:sz="0" w:space="0" w:color="auto"/>
        <w:left w:val="none" w:sz="0" w:space="0" w:color="auto"/>
        <w:bottom w:val="none" w:sz="0" w:space="0" w:color="auto"/>
        <w:right w:val="none" w:sz="0" w:space="0" w:color="auto"/>
      </w:divBdr>
    </w:div>
    <w:div w:id="233711721">
      <w:bodyDiv w:val="1"/>
      <w:marLeft w:val="0"/>
      <w:marRight w:val="0"/>
      <w:marTop w:val="0"/>
      <w:marBottom w:val="0"/>
      <w:divBdr>
        <w:top w:val="none" w:sz="0" w:space="0" w:color="auto"/>
        <w:left w:val="none" w:sz="0" w:space="0" w:color="auto"/>
        <w:bottom w:val="none" w:sz="0" w:space="0" w:color="auto"/>
        <w:right w:val="none" w:sz="0" w:space="0" w:color="auto"/>
      </w:divBdr>
    </w:div>
    <w:div w:id="293290478">
      <w:bodyDiv w:val="1"/>
      <w:marLeft w:val="0"/>
      <w:marRight w:val="0"/>
      <w:marTop w:val="0"/>
      <w:marBottom w:val="0"/>
      <w:divBdr>
        <w:top w:val="none" w:sz="0" w:space="0" w:color="auto"/>
        <w:left w:val="none" w:sz="0" w:space="0" w:color="auto"/>
        <w:bottom w:val="none" w:sz="0" w:space="0" w:color="auto"/>
        <w:right w:val="none" w:sz="0" w:space="0" w:color="auto"/>
      </w:divBdr>
    </w:div>
    <w:div w:id="325521409">
      <w:bodyDiv w:val="1"/>
      <w:marLeft w:val="0"/>
      <w:marRight w:val="0"/>
      <w:marTop w:val="0"/>
      <w:marBottom w:val="0"/>
      <w:divBdr>
        <w:top w:val="none" w:sz="0" w:space="0" w:color="auto"/>
        <w:left w:val="none" w:sz="0" w:space="0" w:color="auto"/>
        <w:bottom w:val="none" w:sz="0" w:space="0" w:color="auto"/>
        <w:right w:val="none" w:sz="0" w:space="0" w:color="auto"/>
      </w:divBdr>
    </w:div>
    <w:div w:id="426661703">
      <w:bodyDiv w:val="1"/>
      <w:marLeft w:val="0"/>
      <w:marRight w:val="0"/>
      <w:marTop w:val="0"/>
      <w:marBottom w:val="0"/>
      <w:divBdr>
        <w:top w:val="none" w:sz="0" w:space="0" w:color="auto"/>
        <w:left w:val="none" w:sz="0" w:space="0" w:color="auto"/>
        <w:bottom w:val="none" w:sz="0" w:space="0" w:color="auto"/>
        <w:right w:val="none" w:sz="0" w:space="0" w:color="auto"/>
      </w:divBdr>
    </w:div>
    <w:div w:id="454712659">
      <w:bodyDiv w:val="1"/>
      <w:marLeft w:val="0"/>
      <w:marRight w:val="0"/>
      <w:marTop w:val="0"/>
      <w:marBottom w:val="0"/>
      <w:divBdr>
        <w:top w:val="none" w:sz="0" w:space="0" w:color="auto"/>
        <w:left w:val="none" w:sz="0" w:space="0" w:color="auto"/>
        <w:bottom w:val="none" w:sz="0" w:space="0" w:color="auto"/>
        <w:right w:val="none" w:sz="0" w:space="0" w:color="auto"/>
      </w:divBdr>
    </w:div>
    <w:div w:id="565795787">
      <w:bodyDiv w:val="1"/>
      <w:marLeft w:val="0"/>
      <w:marRight w:val="0"/>
      <w:marTop w:val="0"/>
      <w:marBottom w:val="0"/>
      <w:divBdr>
        <w:top w:val="none" w:sz="0" w:space="0" w:color="auto"/>
        <w:left w:val="none" w:sz="0" w:space="0" w:color="auto"/>
        <w:bottom w:val="none" w:sz="0" w:space="0" w:color="auto"/>
        <w:right w:val="none" w:sz="0" w:space="0" w:color="auto"/>
      </w:divBdr>
    </w:div>
    <w:div w:id="626398193">
      <w:bodyDiv w:val="1"/>
      <w:marLeft w:val="0"/>
      <w:marRight w:val="0"/>
      <w:marTop w:val="0"/>
      <w:marBottom w:val="0"/>
      <w:divBdr>
        <w:top w:val="none" w:sz="0" w:space="0" w:color="auto"/>
        <w:left w:val="none" w:sz="0" w:space="0" w:color="auto"/>
        <w:bottom w:val="none" w:sz="0" w:space="0" w:color="auto"/>
        <w:right w:val="none" w:sz="0" w:space="0" w:color="auto"/>
      </w:divBdr>
    </w:div>
    <w:div w:id="628708756">
      <w:bodyDiv w:val="1"/>
      <w:marLeft w:val="0"/>
      <w:marRight w:val="0"/>
      <w:marTop w:val="0"/>
      <w:marBottom w:val="0"/>
      <w:divBdr>
        <w:top w:val="none" w:sz="0" w:space="0" w:color="auto"/>
        <w:left w:val="none" w:sz="0" w:space="0" w:color="auto"/>
        <w:bottom w:val="none" w:sz="0" w:space="0" w:color="auto"/>
        <w:right w:val="none" w:sz="0" w:space="0" w:color="auto"/>
      </w:divBdr>
    </w:div>
    <w:div w:id="642006393">
      <w:bodyDiv w:val="1"/>
      <w:marLeft w:val="0"/>
      <w:marRight w:val="0"/>
      <w:marTop w:val="0"/>
      <w:marBottom w:val="0"/>
      <w:divBdr>
        <w:top w:val="none" w:sz="0" w:space="0" w:color="auto"/>
        <w:left w:val="none" w:sz="0" w:space="0" w:color="auto"/>
        <w:bottom w:val="none" w:sz="0" w:space="0" w:color="auto"/>
        <w:right w:val="none" w:sz="0" w:space="0" w:color="auto"/>
      </w:divBdr>
    </w:div>
    <w:div w:id="701519268">
      <w:bodyDiv w:val="1"/>
      <w:marLeft w:val="0"/>
      <w:marRight w:val="0"/>
      <w:marTop w:val="0"/>
      <w:marBottom w:val="0"/>
      <w:divBdr>
        <w:top w:val="none" w:sz="0" w:space="0" w:color="auto"/>
        <w:left w:val="none" w:sz="0" w:space="0" w:color="auto"/>
        <w:bottom w:val="none" w:sz="0" w:space="0" w:color="auto"/>
        <w:right w:val="none" w:sz="0" w:space="0" w:color="auto"/>
      </w:divBdr>
    </w:div>
    <w:div w:id="731854841">
      <w:bodyDiv w:val="1"/>
      <w:marLeft w:val="0"/>
      <w:marRight w:val="0"/>
      <w:marTop w:val="0"/>
      <w:marBottom w:val="0"/>
      <w:divBdr>
        <w:top w:val="none" w:sz="0" w:space="0" w:color="auto"/>
        <w:left w:val="none" w:sz="0" w:space="0" w:color="auto"/>
        <w:bottom w:val="none" w:sz="0" w:space="0" w:color="auto"/>
        <w:right w:val="none" w:sz="0" w:space="0" w:color="auto"/>
      </w:divBdr>
    </w:div>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949609">
      <w:bodyDiv w:val="1"/>
      <w:marLeft w:val="0"/>
      <w:marRight w:val="0"/>
      <w:marTop w:val="0"/>
      <w:marBottom w:val="0"/>
      <w:divBdr>
        <w:top w:val="none" w:sz="0" w:space="0" w:color="auto"/>
        <w:left w:val="none" w:sz="0" w:space="0" w:color="auto"/>
        <w:bottom w:val="none" w:sz="0" w:space="0" w:color="auto"/>
        <w:right w:val="none" w:sz="0" w:space="0" w:color="auto"/>
      </w:divBdr>
    </w:div>
    <w:div w:id="833305618">
      <w:bodyDiv w:val="1"/>
      <w:marLeft w:val="0"/>
      <w:marRight w:val="0"/>
      <w:marTop w:val="0"/>
      <w:marBottom w:val="0"/>
      <w:divBdr>
        <w:top w:val="none" w:sz="0" w:space="0" w:color="auto"/>
        <w:left w:val="none" w:sz="0" w:space="0" w:color="auto"/>
        <w:bottom w:val="none" w:sz="0" w:space="0" w:color="auto"/>
        <w:right w:val="none" w:sz="0" w:space="0" w:color="auto"/>
      </w:divBdr>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602440">
      <w:bodyDiv w:val="1"/>
      <w:marLeft w:val="0"/>
      <w:marRight w:val="0"/>
      <w:marTop w:val="0"/>
      <w:marBottom w:val="0"/>
      <w:divBdr>
        <w:top w:val="none" w:sz="0" w:space="0" w:color="auto"/>
        <w:left w:val="none" w:sz="0" w:space="0" w:color="auto"/>
        <w:bottom w:val="none" w:sz="0" w:space="0" w:color="auto"/>
        <w:right w:val="none" w:sz="0" w:space="0" w:color="auto"/>
      </w:divBdr>
    </w:div>
    <w:div w:id="939408902">
      <w:bodyDiv w:val="1"/>
      <w:marLeft w:val="0"/>
      <w:marRight w:val="0"/>
      <w:marTop w:val="0"/>
      <w:marBottom w:val="0"/>
      <w:divBdr>
        <w:top w:val="none" w:sz="0" w:space="0" w:color="auto"/>
        <w:left w:val="none" w:sz="0" w:space="0" w:color="auto"/>
        <w:bottom w:val="none" w:sz="0" w:space="0" w:color="auto"/>
        <w:right w:val="none" w:sz="0" w:space="0" w:color="auto"/>
      </w:divBdr>
    </w:div>
    <w:div w:id="966278290">
      <w:bodyDiv w:val="1"/>
      <w:marLeft w:val="0"/>
      <w:marRight w:val="0"/>
      <w:marTop w:val="0"/>
      <w:marBottom w:val="0"/>
      <w:divBdr>
        <w:top w:val="none" w:sz="0" w:space="0" w:color="auto"/>
        <w:left w:val="none" w:sz="0" w:space="0" w:color="auto"/>
        <w:bottom w:val="none" w:sz="0" w:space="0" w:color="auto"/>
        <w:right w:val="none" w:sz="0" w:space="0" w:color="auto"/>
      </w:divBdr>
    </w:div>
    <w:div w:id="1043410950">
      <w:bodyDiv w:val="1"/>
      <w:marLeft w:val="0"/>
      <w:marRight w:val="0"/>
      <w:marTop w:val="0"/>
      <w:marBottom w:val="0"/>
      <w:divBdr>
        <w:top w:val="none" w:sz="0" w:space="0" w:color="auto"/>
        <w:left w:val="none" w:sz="0" w:space="0" w:color="auto"/>
        <w:bottom w:val="none" w:sz="0" w:space="0" w:color="auto"/>
        <w:right w:val="none" w:sz="0" w:space="0" w:color="auto"/>
      </w:divBdr>
    </w:div>
    <w:div w:id="1094206023">
      <w:bodyDiv w:val="1"/>
      <w:marLeft w:val="0"/>
      <w:marRight w:val="0"/>
      <w:marTop w:val="0"/>
      <w:marBottom w:val="0"/>
      <w:divBdr>
        <w:top w:val="none" w:sz="0" w:space="0" w:color="auto"/>
        <w:left w:val="none" w:sz="0" w:space="0" w:color="auto"/>
        <w:bottom w:val="none" w:sz="0" w:space="0" w:color="auto"/>
        <w:right w:val="none" w:sz="0" w:space="0" w:color="auto"/>
      </w:divBdr>
    </w:div>
    <w:div w:id="1192958376">
      <w:bodyDiv w:val="1"/>
      <w:marLeft w:val="0"/>
      <w:marRight w:val="0"/>
      <w:marTop w:val="0"/>
      <w:marBottom w:val="0"/>
      <w:divBdr>
        <w:top w:val="none" w:sz="0" w:space="0" w:color="auto"/>
        <w:left w:val="none" w:sz="0" w:space="0" w:color="auto"/>
        <w:bottom w:val="none" w:sz="0" w:space="0" w:color="auto"/>
        <w:right w:val="none" w:sz="0" w:space="0" w:color="auto"/>
      </w:divBdr>
    </w:div>
    <w:div w:id="1235318221">
      <w:bodyDiv w:val="1"/>
      <w:marLeft w:val="0"/>
      <w:marRight w:val="0"/>
      <w:marTop w:val="0"/>
      <w:marBottom w:val="0"/>
      <w:divBdr>
        <w:top w:val="none" w:sz="0" w:space="0" w:color="auto"/>
        <w:left w:val="none" w:sz="0" w:space="0" w:color="auto"/>
        <w:bottom w:val="none" w:sz="0" w:space="0" w:color="auto"/>
        <w:right w:val="none" w:sz="0" w:space="0" w:color="auto"/>
      </w:divBdr>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01635261">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41030697">
      <w:bodyDiv w:val="1"/>
      <w:marLeft w:val="0"/>
      <w:marRight w:val="0"/>
      <w:marTop w:val="0"/>
      <w:marBottom w:val="0"/>
      <w:divBdr>
        <w:top w:val="none" w:sz="0" w:space="0" w:color="auto"/>
        <w:left w:val="none" w:sz="0" w:space="0" w:color="auto"/>
        <w:bottom w:val="none" w:sz="0" w:space="0" w:color="auto"/>
        <w:right w:val="none" w:sz="0" w:space="0" w:color="auto"/>
      </w:divBdr>
    </w:div>
    <w:div w:id="1486316540">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553421265">
      <w:bodyDiv w:val="1"/>
      <w:marLeft w:val="0"/>
      <w:marRight w:val="0"/>
      <w:marTop w:val="0"/>
      <w:marBottom w:val="0"/>
      <w:divBdr>
        <w:top w:val="none" w:sz="0" w:space="0" w:color="auto"/>
        <w:left w:val="none" w:sz="0" w:space="0" w:color="auto"/>
        <w:bottom w:val="none" w:sz="0" w:space="0" w:color="auto"/>
        <w:right w:val="none" w:sz="0" w:space="0" w:color="auto"/>
      </w:divBdr>
    </w:div>
    <w:div w:id="1572883023">
      <w:bodyDiv w:val="1"/>
      <w:marLeft w:val="0"/>
      <w:marRight w:val="0"/>
      <w:marTop w:val="0"/>
      <w:marBottom w:val="0"/>
      <w:divBdr>
        <w:top w:val="none" w:sz="0" w:space="0" w:color="auto"/>
        <w:left w:val="none" w:sz="0" w:space="0" w:color="auto"/>
        <w:bottom w:val="none" w:sz="0" w:space="0" w:color="auto"/>
        <w:right w:val="none" w:sz="0" w:space="0" w:color="auto"/>
      </w:divBdr>
    </w:div>
    <w:div w:id="1574463773">
      <w:bodyDiv w:val="1"/>
      <w:marLeft w:val="0"/>
      <w:marRight w:val="0"/>
      <w:marTop w:val="0"/>
      <w:marBottom w:val="0"/>
      <w:divBdr>
        <w:top w:val="none" w:sz="0" w:space="0" w:color="auto"/>
        <w:left w:val="none" w:sz="0" w:space="0" w:color="auto"/>
        <w:bottom w:val="none" w:sz="0" w:space="0" w:color="auto"/>
        <w:right w:val="none" w:sz="0" w:space="0" w:color="auto"/>
      </w:divBdr>
    </w:div>
    <w:div w:id="167603694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18624">
      <w:bodyDiv w:val="1"/>
      <w:marLeft w:val="0"/>
      <w:marRight w:val="0"/>
      <w:marTop w:val="0"/>
      <w:marBottom w:val="0"/>
      <w:divBdr>
        <w:top w:val="none" w:sz="0" w:space="0" w:color="auto"/>
        <w:left w:val="none" w:sz="0" w:space="0" w:color="auto"/>
        <w:bottom w:val="none" w:sz="0" w:space="0" w:color="auto"/>
        <w:right w:val="none" w:sz="0" w:space="0" w:color="auto"/>
      </w:divBdr>
    </w:div>
    <w:div w:id="1764522608">
      <w:bodyDiv w:val="1"/>
      <w:marLeft w:val="0"/>
      <w:marRight w:val="0"/>
      <w:marTop w:val="0"/>
      <w:marBottom w:val="0"/>
      <w:divBdr>
        <w:top w:val="none" w:sz="0" w:space="0" w:color="auto"/>
        <w:left w:val="none" w:sz="0" w:space="0" w:color="auto"/>
        <w:bottom w:val="none" w:sz="0" w:space="0" w:color="auto"/>
        <w:right w:val="none" w:sz="0" w:space="0" w:color="auto"/>
      </w:divBdr>
    </w:div>
    <w:div w:id="1800151111">
      <w:bodyDiv w:val="1"/>
      <w:marLeft w:val="0"/>
      <w:marRight w:val="0"/>
      <w:marTop w:val="0"/>
      <w:marBottom w:val="0"/>
      <w:divBdr>
        <w:top w:val="none" w:sz="0" w:space="0" w:color="auto"/>
        <w:left w:val="none" w:sz="0" w:space="0" w:color="auto"/>
        <w:bottom w:val="none" w:sz="0" w:space="0" w:color="auto"/>
        <w:right w:val="none" w:sz="0" w:space="0" w:color="auto"/>
      </w:divBdr>
    </w:div>
    <w:div w:id="1902059804">
      <w:bodyDiv w:val="1"/>
      <w:marLeft w:val="0"/>
      <w:marRight w:val="0"/>
      <w:marTop w:val="0"/>
      <w:marBottom w:val="0"/>
      <w:divBdr>
        <w:top w:val="none" w:sz="0" w:space="0" w:color="auto"/>
        <w:left w:val="none" w:sz="0" w:space="0" w:color="auto"/>
        <w:bottom w:val="none" w:sz="0" w:space="0" w:color="auto"/>
        <w:right w:val="none" w:sz="0" w:space="0" w:color="auto"/>
      </w:divBdr>
    </w:div>
    <w:div w:id="2007049055">
      <w:bodyDiv w:val="1"/>
      <w:marLeft w:val="0"/>
      <w:marRight w:val="0"/>
      <w:marTop w:val="0"/>
      <w:marBottom w:val="0"/>
      <w:divBdr>
        <w:top w:val="none" w:sz="0" w:space="0" w:color="auto"/>
        <w:left w:val="none" w:sz="0" w:space="0" w:color="auto"/>
        <w:bottom w:val="none" w:sz="0" w:space="0" w:color="auto"/>
        <w:right w:val="none" w:sz="0" w:space="0" w:color="auto"/>
      </w:divBdr>
    </w:div>
    <w:div w:id="2012176384">
      <w:bodyDiv w:val="1"/>
      <w:marLeft w:val="0"/>
      <w:marRight w:val="0"/>
      <w:marTop w:val="0"/>
      <w:marBottom w:val="0"/>
      <w:divBdr>
        <w:top w:val="none" w:sz="0" w:space="0" w:color="auto"/>
        <w:left w:val="none" w:sz="0" w:space="0" w:color="auto"/>
        <w:bottom w:val="none" w:sz="0" w:space="0" w:color="auto"/>
        <w:right w:val="none" w:sz="0" w:space="0" w:color="auto"/>
      </w:divBdr>
    </w:div>
    <w:div w:id="2024087390">
      <w:bodyDiv w:val="1"/>
      <w:marLeft w:val="0"/>
      <w:marRight w:val="0"/>
      <w:marTop w:val="0"/>
      <w:marBottom w:val="0"/>
      <w:divBdr>
        <w:top w:val="none" w:sz="0" w:space="0" w:color="auto"/>
        <w:left w:val="none" w:sz="0" w:space="0" w:color="auto"/>
        <w:bottom w:val="none" w:sz="0" w:space="0" w:color="auto"/>
        <w:right w:val="none" w:sz="0" w:space="0" w:color="auto"/>
      </w:divBdr>
    </w:div>
    <w:div w:id="2059624256">
      <w:bodyDiv w:val="1"/>
      <w:marLeft w:val="0"/>
      <w:marRight w:val="0"/>
      <w:marTop w:val="0"/>
      <w:marBottom w:val="0"/>
      <w:divBdr>
        <w:top w:val="none" w:sz="0" w:space="0" w:color="auto"/>
        <w:left w:val="none" w:sz="0" w:space="0" w:color="auto"/>
        <w:bottom w:val="none" w:sz="0" w:space="0" w:color="auto"/>
        <w:right w:val="none" w:sz="0" w:space="0" w:color="auto"/>
      </w:divBdr>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4C55EB-CD38-4256-8EA4-05782CD82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740</TotalTime>
  <Pages>6</Pages>
  <Words>3033</Words>
  <Characters>17294</Characters>
  <Application>Microsoft Office Word</Application>
  <DocSecurity>0</DocSecurity>
  <Lines>144</Lines>
  <Paragraphs>40</Paragraphs>
  <ScaleCrop>false</ScaleCrop>
  <HeadingPairs>
    <vt:vector size="6" baseType="variant">
      <vt:variant>
        <vt:lpstr>Название</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Dipartimento CMIC - Politecnico di Milano</Company>
  <LinksUpToDate>false</LinksUpToDate>
  <CharactersWithSpaces>20287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Учетная запись Майкрософт</cp:lastModifiedBy>
  <cp:revision>180</cp:revision>
  <cp:lastPrinted>2015-05-12T18:31:00Z</cp:lastPrinted>
  <dcterms:created xsi:type="dcterms:W3CDTF">2026-02-10T10:00:00Z</dcterms:created>
  <dcterms:modified xsi:type="dcterms:W3CDTF">2026-07-27T20:25:00Z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